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22560d8k.htm"/>
      <w:bookmarkStart w:id="1" w:name="ksd122560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Date of Report (Date of earliest event reported): May 6,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THE GEO GROUP, INC.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530" w:type="dxa"/>
        <w:jc w:val="left"/>
        <w:tblInd w:w="0" w:type="dxa"/>
        <w:tblLayout w:type="fixed"/>
        <w:tblCellMar>
          <w:top w:w="0" w:type="dxa"/>
          <w:left w:w="0" w:type="dxa"/>
          <w:bottom w:w="0" w:type="dxa"/>
          <w:right w:w="0" w:type="dxa"/>
        </w:tblCellMar>
      </w:tblPr>
      <w:tblGrid>
        <w:gridCol w:w="2060"/>
        <w:gridCol w:w="60"/>
        <w:gridCol w:w="980"/>
        <w:gridCol w:w="60"/>
        <w:gridCol w:w="1370"/>
      </w:tblGrid>
      <w:tr>
        <w:trPr/>
        <w:tc>
          <w:tcPr>
            <w:tcW w:w="20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060" w:type="dxa"/>
            <w:tcBorders/>
            <w:vAlign w:val="center"/>
          </w:tcPr>
          <w:p>
            <w:pPr>
              <w:pStyle w:val="TableContents"/>
              <w:bidi w:val="0"/>
              <w:spacing w:before="0" w:after="283"/>
              <w:jc w:val="center"/>
              <w:rPr>
                <w:b/>
              </w:rPr>
            </w:pPr>
            <w:r>
              <w:rPr>
                <w:b/>
              </w:rPr>
              <w:t>Florida</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b/>
              </w:rPr>
            </w:pPr>
            <w:r>
              <w:rPr>
                <w:b/>
              </w:rPr>
              <w:t>1-14260</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65-0043078</w:t>
            </w:r>
          </w:p>
        </w:tc>
      </w:tr>
      <w:tr>
        <w:trPr/>
        <w:tc>
          <w:tcPr>
            <w:tcW w:w="206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695" w:type="dxa"/>
        <w:jc w:val="left"/>
        <w:tblInd w:w="0" w:type="dxa"/>
        <w:tblLayout w:type="fixed"/>
        <w:tblCellMar>
          <w:top w:w="0" w:type="dxa"/>
          <w:left w:w="0" w:type="dxa"/>
          <w:bottom w:w="0" w:type="dxa"/>
          <w:right w:w="0" w:type="dxa"/>
        </w:tblCellMar>
      </w:tblPr>
      <w:tblGrid>
        <w:gridCol w:w="4490"/>
        <w:gridCol w:w="60"/>
        <w:gridCol w:w="1145"/>
      </w:tblGrid>
      <w:tr>
        <w:trPr/>
        <w:tc>
          <w:tcPr>
            <w:tcW w:w="44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4490" w:type="dxa"/>
            <w:tcBorders/>
            <w:vAlign w:val="center"/>
          </w:tcPr>
          <w:p>
            <w:pPr>
              <w:pStyle w:val="TableContents"/>
              <w:bidi w:val="0"/>
              <w:spacing w:before="0" w:after="283"/>
              <w:jc w:val="center"/>
              <w:rPr>
                <w:b/>
              </w:rPr>
            </w:pPr>
            <w:r>
              <w:rPr>
                <w:b/>
              </w:rPr>
              <w:t>4955 Technology Way, Boca Raton, Florida</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33431</w:t>
            </w:r>
          </w:p>
        </w:tc>
      </w:tr>
      <w:tr>
        <w:trPr/>
        <w:tc>
          <w:tcPr>
            <w:tcW w:w="4490"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240" w:after="0"/>
        <w:jc w:val="center"/>
        <w:rPr>
          <w:rFonts w:ascii="Times New Roman" w:hAnsi="Times New Roman"/>
          <w:b/>
          <w:sz w:val="20"/>
        </w:rPr>
      </w:pPr>
      <w:r>
        <w:rPr>
          <w:rFonts w:ascii="Times New Roman" w:hAnsi="Times New Roman"/>
          <w:b/>
          <w:sz w:val="20"/>
        </w:rPr>
        <w:t>Registrant’s telephone number, including area code (561) 893-0101</w:t>
      </w:r>
    </w:p>
    <w:p>
      <w:pPr>
        <w:pStyle w:val="TextBody"/>
        <w:bidi w:val="0"/>
        <w:spacing w:before="240" w:after="0"/>
        <w:jc w:val="center"/>
        <w:rPr>
          <w:rFonts w:ascii="Times New Roman" w:hAnsi="Times New Roman"/>
          <w:b/>
          <w:sz w:val="20"/>
        </w:rPr>
      </w:pPr>
      <w:r>
        <w:rPr>
          <w:rFonts w:ascii="Times New Roman" w:hAnsi="Times New Roman"/>
          <w:b/>
          <w:sz w:val="20"/>
        </w:rPr>
        <w:t>N/A</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w:t>
      </w:r>
      <w:r>
        <w:rPr>
          <w:rFonts w:ascii="Times New Roman" w:hAnsi="Times New Roman"/>
          <w:i/>
          <w:sz w:val="20"/>
        </w:rPr>
        <w:t xml:space="preserve">see </w:t>
      </w:r>
      <w:r>
        <w:rPr>
          <w:rFonts w:ascii="Times New Roman" w:hAnsi="Times New Roman"/>
          <w:sz w:val="20"/>
        </w:rPr>
        <w:t>General Instruction A.2. below):</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4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6570" w:type="dxa"/>
        <w:jc w:val="left"/>
        <w:tblInd w:w="0" w:type="dxa"/>
        <w:tblLayout w:type="fixed"/>
        <w:tblCellMar>
          <w:top w:w="0" w:type="dxa"/>
          <w:left w:w="0" w:type="dxa"/>
          <w:bottom w:w="0" w:type="dxa"/>
          <w:right w:w="0" w:type="dxa"/>
        </w:tblCellMar>
      </w:tblPr>
      <w:tblGrid>
        <w:gridCol w:w="3185"/>
        <w:gridCol w:w="60"/>
        <w:gridCol w:w="605"/>
        <w:gridCol w:w="60"/>
        <w:gridCol w:w="2660"/>
      </w:tblGrid>
      <w:tr>
        <w:trPr/>
        <w:tc>
          <w:tcPr>
            <w:tcW w:w="31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r>
      <w:tr>
        <w:trPr/>
        <w:tc>
          <w:tcPr>
            <w:tcW w:w="318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60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w:t>
            </w:r>
          </w:p>
        </w:tc>
        <w:tc>
          <w:tcPr>
            <w:tcW w:w="60" w:type="dxa"/>
            <w:tcBorders/>
            <w:vAlign w:val="center"/>
          </w:tcPr>
          <w:p>
            <w:pPr>
              <w:pStyle w:val="TableContents"/>
              <w:bidi w:val="0"/>
              <w:spacing w:before="0" w:after="283"/>
              <w:jc w:val="left"/>
              <w:rPr/>
            </w:pPr>
            <w:r>
              <w:rPr/>
              <w:t> </w:t>
            </w:r>
          </w:p>
        </w:tc>
        <w:tc>
          <w:tcPr>
            <w:tcW w:w="266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3185" w:type="dxa"/>
            <w:tcBorders/>
            <w:vAlign w:val="center"/>
          </w:tcPr>
          <w:p>
            <w:pPr>
              <w:pStyle w:val="TableContents"/>
              <w:bidi w:val="0"/>
              <w:spacing w:before="0" w:after="283"/>
              <w:jc w:val="center"/>
              <w:rPr/>
            </w:pPr>
            <w:r>
              <w:rPr/>
              <w:t>Common Stock, $0.01 Par Value</w:t>
            </w:r>
          </w:p>
        </w:tc>
        <w:tc>
          <w:tcPr>
            <w:tcW w:w="6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center"/>
              <w:rPr/>
            </w:pPr>
            <w:r>
              <w:rPr/>
              <w:t>GEO</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center"/>
              <w:rPr/>
            </w:pPr>
            <w:r>
              <w:rPr/>
              <w:t>New York Stock Exchange</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40" w:after="0"/>
        <w:jc w:val="right"/>
        <w:rPr>
          <w:rFonts w:ascii="Times New Roman" w:hAnsi="Times New Roman"/>
          <w:sz w:val="20"/>
        </w:rPr>
      </w:pPr>
      <w:r>
        <w:rPr>
          <w:rFonts w:ascii="Times New Roman" w:hAnsi="Times New Roman"/>
          <w:sz w:val="20"/>
        </w:rPr>
        <w:t>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2905" w:type="dxa"/>
        <w:jc w:val="left"/>
        <w:tblInd w:w="0" w:type="dxa"/>
        <w:tblLayout w:type="fixed"/>
        <w:tblCellMar>
          <w:top w:w="0" w:type="dxa"/>
          <w:left w:w="0" w:type="dxa"/>
          <w:bottom w:w="0" w:type="dxa"/>
          <w:right w:w="0" w:type="dxa"/>
        </w:tblCellMar>
      </w:tblPr>
      <w:tblGrid>
        <w:gridCol w:w="935"/>
        <w:gridCol w:w="1970"/>
      </w:tblGrid>
      <w:tr>
        <w:trPr/>
        <w:tc>
          <w:tcPr>
            <w:tcW w:w="935" w:type="dxa"/>
            <w:tcBorders/>
            <w:vAlign w:val="center"/>
          </w:tcPr>
          <w:p>
            <w:pPr>
              <w:pStyle w:val="TableContents"/>
              <w:bidi w:val="0"/>
              <w:spacing w:before="0" w:after="283"/>
              <w:jc w:val="left"/>
              <w:rPr>
                <w:b/>
              </w:rPr>
            </w:pPr>
            <w:r>
              <w:rPr>
                <w:b/>
              </w:rPr>
              <w:t>Section 2</w:t>
            </w:r>
          </w:p>
        </w:tc>
        <w:tc>
          <w:tcPr>
            <w:tcW w:w="197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Information </w:t>
            </w:r>
          </w:p>
        </w:tc>
      </w:tr>
    </w:tbl>
    <w:p>
      <w:pPr>
        <w:pStyle w:val="TextBody"/>
        <w:bidi w:val="0"/>
        <w:spacing w:before="0" w:after="0"/>
        <w:jc w:val="left"/>
        <w:rPr/>
      </w:pPr>
      <w:r>
        <w:rPr/>
        <w:t> </w:t>
      </w:r>
    </w:p>
    <w:tbl>
      <w:tblPr>
        <w:tblW w:w="4990" w:type="dxa"/>
        <w:jc w:val="left"/>
        <w:tblInd w:w="0" w:type="dxa"/>
        <w:tblLayout w:type="fixed"/>
        <w:tblCellMar>
          <w:top w:w="0" w:type="dxa"/>
          <w:left w:w="0" w:type="dxa"/>
          <w:bottom w:w="0" w:type="dxa"/>
          <w:right w:w="0" w:type="dxa"/>
        </w:tblCellMar>
      </w:tblPr>
      <w:tblGrid>
        <w:gridCol w:w="965"/>
        <w:gridCol w:w="4025"/>
      </w:tblGrid>
      <w:tr>
        <w:trPr/>
        <w:tc>
          <w:tcPr>
            <w:tcW w:w="965" w:type="dxa"/>
            <w:tcBorders/>
            <w:vAlign w:val="center"/>
          </w:tcPr>
          <w:p>
            <w:pPr>
              <w:pStyle w:val="TableContents"/>
              <w:bidi w:val="0"/>
              <w:spacing w:before="0" w:after="283"/>
              <w:jc w:val="left"/>
              <w:rPr>
                <w:b/>
              </w:rPr>
            </w:pPr>
            <w:r>
              <w:rPr>
                <w:b/>
              </w:rPr>
              <w:t>Item 2.02</w:t>
            </w:r>
          </w:p>
        </w:tc>
        <w:tc>
          <w:tcPr>
            <w:tcW w:w="402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Results of Operations and Financial Condition.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May 6, 2026, The GEO Group, Inc. (“GEO” or the “Company”) issued a press release announcing its financial results for the first quarter ended March 31, 2026, updating its financial guidance for the full year ending December 31, 2026 and issuing its financial guidance for the second quarter ending June 30, 2026.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furnished pursuant to this Item 2.02, including Exhibit 99.1, shall not be deemed “filed” for purposes of Section 18 of the Securities Exchange Act of 1934 (the “Exchange Act”) or otherwise subject to the liabilities under that Section and shall not be deemed to be incorporated by reference into any filing of the Company under the Securities Act of 1933 or the Exchange Act, except as shall be expressly set forth by specific reference in such filing. </w:t>
      </w:r>
    </w:p>
    <w:p>
      <w:pPr>
        <w:pStyle w:val="TextBody"/>
        <w:bidi w:val="0"/>
        <w:spacing w:before="0" w:after="0"/>
        <w:jc w:val="left"/>
        <w:rPr/>
      </w:pPr>
      <w:r>
        <w:rPr/>
        <w:t> </w:t>
      </w:r>
    </w:p>
    <w:tbl>
      <w:tblPr>
        <w:tblW w:w="3895" w:type="dxa"/>
        <w:jc w:val="left"/>
        <w:tblInd w:w="0" w:type="dxa"/>
        <w:tblLayout w:type="fixed"/>
        <w:tblCellMar>
          <w:top w:w="0" w:type="dxa"/>
          <w:left w:w="0" w:type="dxa"/>
          <w:bottom w:w="0" w:type="dxa"/>
          <w:right w:w="0" w:type="dxa"/>
        </w:tblCellMar>
      </w:tblPr>
      <w:tblGrid>
        <w:gridCol w:w="935"/>
        <w:gridCol w:w="2960"/>
      </w:tblGrid>
      <w:tr>
        <w:trPr/>
        <w:tc>
          <w:tcPr>
            <w:tcW w:w="935" w:type="dxa"/>
            <w:tcBorders/>
            <w:vAlign w:val="center"/>
          </w:tcPr>
          <w:p>
            <w:pPr>
              <w:pStyle w:val="TableContents"/>
              <w:bidi w:val="0"/>
              <w:spacing w:before="0" w:after="283"/>
              <w:jc w:val="left"/>
              <w:rPr>
                <w:b/>
              </w:rPr>
            </w:pPr>
            <w:r>
              <w:rPr>
                <w:b/>
              </w:rPr>
              <w:t>Section 9</w:t>
            </w:r>
          </w:p>
        </w:tc>
        <w:tc>
          <w:tcPr>
            <w:tcW w:w="296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0" w:after="0"/>
        <w:jc w:val="left"/>
        <w:rPr/>
      </w:pPr>
      <w:r>
        <w:rPr/>
        <w:t> </w:t>
      </w:r>
    </w:p>
    <w:tbl>
      <w:tblPr>
        <w:tblW w:w="3970" w:type="dxa"/>
        <w:jc w:val="left"/>
        <w:tblInd w:w="0" w:type="dxa"/>
        <w:tblLayout w:type="fixed"/>
        <w:tblCellMar>
          <w:top w:w="0" w:type="dxa"/>
          <w:left w:w="0" w:type="dxa"/>
          <w:bottom w:w="0" w:type="dxa"/>
          <w:right w:w="0" w:type="dxa"/>
        </w:tblCellMar>
      </w:tblPr>
      <w:tblGrid>
        <w:gridCol w:w="965"/>
        <w:gridCol w:w="3005"/>
      </w:tblGrid>
      <w:tr>
        <w:trPr/>
        <w:tc>
          <w:tcPr>
            <w:tcW w:w="96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860"/>
        <w:gridCol w:w="120"/>
        <w:gridCol w:w="9225"/>
      </w:tblGrid>
      <w:tr>
        <w:trPr/>
        <w:tc>
          <w:tcPr>
            <w:tcW w:w="8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225" w:type="dxa"/>
            <w:tcBorders/>
            <w:vAlign w:val="center"/>
          </w:tcPr>
          <w:p>
            <w:pPr>
              <w:pStyle w:val="TableContents"/>
              <w:bidi w:val="0"/>
              <w:spacing w:before="0" w:after="283"/>
              <w:jc w:val="left"/>
              <w:rPr>
                <w:sz w:val="4"/>
                <w:szCs w:val="4"/>
              </w:rPr>
            </w:pPr>
            <w:r>
              <w:rPr>
                <w:sz w:val="4"/>
                <w:szCs w:val="4"/>
              </w:rPr>
            </w:r>
          </w:p>
        </w:tc>
      </w:tr>
      <w:tr>
        <w:trPr/>
        <w:tc>
          <w:tcPr>
            <w:tcW w:w="860"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Exhibit No.</w:t>
            </w:r>
          </w:p>
        </w:tc>
        <w:tc>
          <w:tcPr>
            <w:tcW w:w="120" w:type="dxa"/>
            <w:tcBorders/>
            <w:vAlign w:val="center"/>
          </w:tcPr>
          <w:p>
            <w:pPr>
              <w:pStyle w:val="TableContents"/>
              <w:bidi w:val="0"/>
              <w:spacing w:before="0" w:after="283"/>
              <w:jc w:val="left"/>
              <w:rPr/>
            </w:pPr>
            <w:r>
              <w:rPr/>
              <w:t>  </w:t>
            </w:r>
          </w:p>
        </w:tc>
        <w:tc>
          <w:tcPr>
            <w:tcW w:w="9225"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Description</w:t>
            </w:r>
          </w:p>
        </w:tc>
      </w:tr>
      <w:tr>
        <w:trPr/>
        <w:tc>
          <w:tcPr>
            <w:tcW w:w="860" w:type="dxa"/>
            <w:tcBorders/>
            <w:vAlign w:val="center"/>
          </w:tcPr>
          <w:p>
            <w:pPr>
              <w:pStyle w:val="TableContents"/>
              <w:bidi w:val="0"/>
              <w:spacing w:before="0" w:after="283"/>
              <w:jc w:val="left"/>
              <w:rPr>
                <w:sz w:val="4"/>
                <w:szCs w:val="4"/>
              </w:rPr>
            </w:pPr>
            <w:r>
              <w:rPr>
                <w:sz w:val="4"/>
                <w:szCs w:val="4"/>
              </w:rPr>
            </w:r>
          </w:p>
        </w:tc>
        <w:tc>
          <w:tcPr>
            <w:tcW w:w="9345" w:type="dxa"/>
            <w:gridSpan w:val="2"/>
            <w:tcBorders/>
            <w:vAlign w:val="center"/>
          </w:tcPr>
          <w:p>
            <w:pPr>
              <w:pStyle w:val="TableContents"/>
              <w:bidi w:val="0"/>
              <w:spacing w:before="0" w:after="283"/>
              <w:jc w:val="left"/>
              <w:rPr>
                <w:sz w:val="4"/>
                <w:szCs w:val="4"/>
              </w:rPr>
            </w:pPr>
            <w:r>
              <w:rPr>
                <w:sz w:val="4"/>
                <w:szCs w:val="4"/>
              </w:rPr>
            </w:r>
          </w:p>
        </w:tc>
      </w:tr>
      <w:tr>
        <w:trPr/>
        <w:tc>
          <w:tcPr>
            <w:tcW w:w="860"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9225" w:type="dxa"/>
            <w:tcBorders/>
            <w:vAlign w:val="center"/>
          </w:tcPr>
          <w:p>
            <w:pPr>
              <w:pStyle w:val="TableContents"/>
              <w:bidi w:val="0"/>
              <w:spacing w:before="0" w:after="283"/>
              <w:jc w:val="left"/>
              <w:rPr/>
            </w:pPr>
            <w:hyperlink w:anchor="d122560dex991.htm">
              <w:r>
                <w:rPr>
                  <w:rStyle w:val="InternetLink"/>
                </w:rPr>
                <w:t>Press Release, dated May 6, 2026, announcing GEO’s financial results for the first quarter ended March 31, 2026.</w:t>
              </w:r>
            </w:hyperlink>
          </w:p>
        </w:tc>
      </w:tr>
      <w:tr>
        <w:trPr/>
        <w:tc>
          <w:tcPr>
            <w:tcW w:w="860" w:type="dxa"/>
            <w:tcBorders/>
            <w:vAlign w:val="center"/>
          </w:tcPr>
          <w:p>
            <w:pPr>
              <w:pStyle w:val="TableContents"/>
              <w:bidi w:val="0"/>
              <w:spacing w:before="0" w:after="283"/>
              <w:jc w:val="left"/>
              <w:rPr>
                <w:sz w:val="4"/>
                <w:szCs w:val="4"/>
              </w:rPr>
            </w:pPr>
            <w:r>
              <w:rPr>
                <w:sz w:val="4"/>
                <w:szCs w:val="4"/>
              </w:rPr>
            </w:r>
          </w:p>
        </w:tc>
        <w:tc>
          <w:tcPr>
            <w:tcW w:w="9345" w:type="dxa"/>
            <w:gridSpan w:val="2"/>
            <w:tcBorders/>
            <w:vAlign w:val="center"/>
          </w:tcPr>
          <w:p>
            <w:pPr>
              <w:pStyle w:val="TableContents"/>
              <w:bidi w:val="0"/>
              <w:spacing w:before="0" w:after="283"/>
              <w:jc w:val="left"/>
              <w:rPr>
                <w:sz w:val="4"/>
                <w:szCs w:val="4"/>
              </w:rPr>
            </w:pPr>
            <w:r>
              <w:rPr>
                <w:sz w:val="4"/>
                <w:szCs w:val="4"/>
              </w:rPr>
            </w:r>
          </w:p>
        </w:tc>
      </w:tr>
      <w:tr>
        <w:trPr/>
        <w:tc>
          <w:tcPr>
            <w:tcW w:w="86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225" w:type="dxa"/>
            <w:tcBorders/>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7973" w:type="dxa"/>
        <w:jc w:val="left"/>
        <w:tblInd w:w="0" w:type="dxa"/>
        <w:tblLayout w:type="fixed"/>
        <w:tblCellMar>
          <w:top w:w="0" w:type="dxa"/>
          <w:left w:w="0" w:type="dxa"/>
          <w:bottom w:w="0" w:type="dxa"/>
          <w:right w:w="0" w:type="dxa"/>
        </w:tblCellMar>
      </w:tblPr>
      <w:tblGrid>
        <w:gridCol w:w="1250"/>
        <w:gridCol w:w="60"/>
        <w:gridCol w:w="23"/>
        <w:gridCol w:w="60"/>
        <w:gridCol w:w="365"/>
        <w:gridCol w:w="60"/>
        <w:gridCol w:w="6155"/>
      </w:tblGrid>
      <w:tr>
        <w:trPr/>
        <w:tc>
          <w:tcPr>
            <w:tcW w:w="1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155" w:type="dxa"/>
            <w:tcBorders/>
            <w:vAlign w:val="center"/>
          </w:tcPr>
          <w:p>
            <w:pPr>
              <w:pStyle w:val="TableContents"/>
              <w:bidi w:val="0"/>
              <w:spacing w:before="0" w:after="283"/>
              <w:jc w:val="left"/>
              <w:rPr>
                <w:sz w:val="4"/>
                <w:szCs w:val="4"/>
              </w:rPr>
            </w:pPr>
            <w:r>
              <w:rPr>
                <w:sz w:val="4"/>
                <w:szCs w:val="4"/>
              </w:rPr>
            </w:r>
          </w:p>
        </w:tc>
      </w:tr>
      <w:tr>
        <w:trPr/>
        <w:tc>
          <w:tcPr>
            <w:tcW w:w="1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80" w:type="dxa"/>
            <w:gridSpan w:val="3"/>
            <w:tcBorders/>
            <w:vAlign w:val="center"/>
          </w:tcPr>
          <w:p>
            <w:pPr>
              <w:pStyle w:val="TableContents"/>
              <w:bidi w:val="0"/>
              <w:spacing w:before="0" w:after="283"/>
              <w:jc w:val="left"/>
              <w:rPr>
                <w:b/>
              </w:rPr>
            </w:pPr>
            <w:r>
              <w:rPr>
                <w:b/>
              </w:rPr>
              <w:t>THE GEO GROUP, INC.</w:t>
            </w:r>
          </w:p>
        </w:tc>
      </w:tr>
      <w:tr>
        <w:trPr/>
        <w:tc>
          <w:tcPr>
            <w:tcW w:w="125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6215" w:type="dxa"/>
            <w:gridSpan w:val="2"/>
            <w:tcBorders/>
            <w:vAlign w:val="center"/>
          </w:tcPr>
          <w:p>
            <w:pPr>
              <w:pStyle w:val="TableContents"/>
              <w:bidi w:val="0"/>
              <w:spacing w:before="0" w:after="283"/>
              <w:jc w:val="left"/>
              <w:rPr>
                <w:sz w:val="4"/>
                <w:szCs w:val="4"/>
              </w:rPr>
            </w:pPr>
            <w:r>
              <w:rPr>
                <w:sz w:val="4"/>
                <w:szCs w:val="4"/>
              </w:rPr>
            </w:r>
          </w:p>
        </w:tc>
      </w:tr>
      <w:tr>
        <w:trPr/>
        <w:tc>
          <w:tcPr>
            <w:tcW w:w="1250" w:type="dxa"/>
            <w:tcBorders/>
            <w:vAlign w:val="center"/>
          </w:tcPr>
          <w:p>
            <w:pPr>
              <w:pStyle w:val="TableContents"/>
              <w:bidi w:val="0"/>
              <w:spacing w:before="0" w:after="283"/>
              <w:jc w:val="left"/>
              <w:rPr>
                <w:u w:val="single"/>
              </w:rPr>
            </w:pPr>
            <w:r>
              <w:rPr>
                <w:u w:val="single"/>
              </w:rPr>
              <w:t>May 6,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615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Scott A. Schipma</w:t>
            </w:r>
          </w:p>
        </w:tc>
      </w:tr>
      <w:tr>
        <w:trPr/>
        <w:tc>
          <w:tcPr>
            <w:tcW w:w="12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Date</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155" w:type="dxa"/>
            <w:tcBorders/>
            <w:vAlign w:val="center"/>
          </w:tcPr>
          <w:p>
            <w:pPr>
              <w:pStyle w:val="TableContents"/>
              <w:bidi w:val="0"/>
              <w:spacing w:before="0" w:after="283"/>
              <w:jc w:val="left"/>
              <w:rPr/>
            </w:pPr>
            <w:r>
              <w:rPr/>
              <w:t>Scott A. Schipma</w:t>
            </w:r>
          </w:p>
        </w:tc>
      </w:tr>
      <w:tr>
        <w:trPr/>
        <w:tc>
          <w:tcPr>
            <w:tcW w:w="1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155" w:type="dxa"/>
            <w:tcBorders/>
            <w:vAlign w:val="center"/>
          </w:tcPr>
          <w:p>
            <w:pPr>
              <w:pStyle w:val="TableContents"/>
              <w:bidi w:val="0"/>
              <w:spacing w:before="0" w:after="283"/>
              <w:jc w:val="left"/>
              <w:rPr/>
            </w:pPr>
            <w:r>
              <w:rPr/>
              <w:t>Senior Vice President, General Counsel and Corporate Secretary</w:t>
            </w:r>
          </w:p>
        </w:tc>
      </w:tr>
    </w:tbl>
    <w:p>
      <w:pPr>
        <w:pStyle w:val="TextBody"/>
        <w:bidi w:val="0"/>
        <w:spacing w:before="0" w:after="0"/>
        <w:jc w:val="right"/>
        <w:rPr>
          <w:rFonts w:ascii="Times New Roman" w:hAnsi="Times New Roman"/>
          <w:b/>
          <w:sz w:val="20"/>
        </w:rPr>
      </w:pPr>
      <w:bookmarkStart w:id="2" w:name="d122560dex991.htm"/>
      <w:bookmarkStart w:id="3" w:name="ksd122560dex991"/>
      <w:bookmarkEnd w:id="2"/>
      <w:bookmarkEnd w:id="3"/>
      <w:r>
        <w:rPr>
          <w:rFonts w:ascii="Times New Roman" w:hAnsi="Times New Roman"/>
          <w:b/>
          <w:sz w:val="20"/>
        </w:rPr>
        <w:t xml:space="preserve">Exhibit 99.1 </w:t>
      </w:r>
      <w:r>
        <w:br w:type="page"/>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471"/>
        <w:gridCol w:w="120"/>
        <w:gridCol w:w="4614"/>
      </w:tblGrid>
      <w:tr>
        <w:trPr/>
        <w:tc>
          <w:tcPr>
            <w:tcW w:w="547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614" w:type="dxa"/>
            <w:tcBorders/>
            <w:vAlign w:val="center"/>
          </w:tcPr>
          <w:p>
            <w:pPr>
              <w:pStyle w:val="TableContents"/>
              <w:bidi w:val="0"/>
              <w:spacing w:before="0" w:after="283"/>
              <w:jc w:val="left"/>
              <w:rPr>
                <w:sz w:val="4"/>
                <w:szCs w:val="4"/>
              </w:rPr>
            </w:pPr>
            <w:r>
              <w:rPr>
                <w:sz w:val="4"/>
                <w:szCs w:val="4"/>
              </w:rPr>
            </w:r>
          </w:p>
        </w:tc>
      </w:tr>
      <w:tr>
        <w:trPr/>
        <w:tc>
          <w:tcPr>
            <w:tcW w:w="5471" w:type="dxa"/>
            <w:tcBorders/>
          </w:tcPr>
          <w:p>
            <w:pPr>
              <w:pStyle w:val="TableContents"/>
              <w:bidi w:val="0"/>
              <w:spacing w:before="0" w:after="283"/>
              <w:jc w:val="left"/>
              <w:rPr/>
            </w:pPr>
            <w:r>
              <w:rPr/>
              <w:drawing>
                <wp:inline distT="0" distB="0" distL="0" distR="0">
                  <wp:extent cx="1904365" cy="70739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04365" cy="707390"/>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4614" w:type="dxa"/>
            <w:tcBorders/>
            <w:vAlign w:val="bottom"/>
          </w:tcPr>
          <w:p>
            <w:pPr>
              <w:pStyle w:val="TableContents"/>
              <w:bidi w:val="0"/>
              <w:spacing w:before="0" w:after="283"/>
              <w:jc w:val="right"/>
              <w:rPr>
                <w:b/>
              </w:rPr>
            </w:pPr>
            <w:r>
              <w:rPr>
                <w:b/>
              </w:rPr>
              <w:t>N E W S R E L E A S E</w:t>
            </w:r>
          </w:p>
        </w:tc>
      </w:tr>
    </w:tbl>
    <w:p>
      <w:pPr>
        <w:pStyle w:val="TextBody"/>
        <w:bidi w:val="0"/>
        <w:spacing w:before="0" w:after="0"/>
        <w:jc w:val="left"/>
        <w:rPr>
          <w:rFonts w:ascii="Times New Roman" w:hAnsi="Times New Roman"/>
          <w:sz w:val="20"/>
        </w:rPr>
      </w:pPr>
      <w:r>
        <w:rPr>
          <w:rFonts w:ascii="Times New Roman" w:hAnsi="Times New Roman"/>
          <w:sz w:val="20"/>
        </w:rPr>
        <w:t xml:space="preserve">4955 Technology Way ∎ Boca Raton, Florida 33431 ∎ www.geogroup.com </w:t>
      </w:r>
    </w:p>
    <w:p>
      <w:pPr>
        <w:pStyle w:val="TextBody"/>
        <w:bidi w:val="0"/>
        <w:spacing w:before="240" w:after="0"/>
        <w:jc w:val="left"/>
        <w:rPr>
          <w:rFonts w:ascii="Times New Roman" w:hAnsi="Times New Roman"/>
          <w:b/>
          <w:sz w:val="20"/>
        </w:rPr>
      </w:pPr>
      <w:r>
        <w:rPr>
          <w:rFonts w:ascii="Times New Roman" w:hAnsi="Times New Roman"/>
          <w:b/>
          <w:sz w:val="20"/>
        </w:rPr>
        <w:t xml:space="preserve">CR-26-07 </w:t>
      </w:r>
    </w:p>
    <w:p>
      <w:pPr>
        <w:pStyle w:val="TextBody"/>
        <w:bidi w:val="0"/>
        <w:spacing w:before="480" w:after="0"/>
        <w:jc w:val="center"/>
        <w:rPr>
          <w:rFonts w:ascii="Times New Roman" w:hAnsi="Times New Roman"/>
          <w:b/>
          <w:sz w:val="20"/>
        </w:rPr>
      </w:pPr>
      <w:r>
        <w:rPr>
          <w:rFonts w:ascii="Times New Roman" w:hAnsi="Times New Roman"/>
          <w:b/>
          <w:sz w:val="20"/>
        </w:rPr>
        <w:t xml:space="preserve">THE GEO GROUP REPORTS FIRST QUARTER RESULTS </w:t>
      </w:r>
    </w:p>
    <w:p>
      <w:pPr>
        <w:pStyle w:val="TextBody"/>
        <w:bidi w:val="0"/>
        <w:spacing w:before="0" w:after="0"/>
        <w:jc w:val="center"/>
        <w:rPr>
          <w:rFonts w:ascii="Times New Roman" w:hAnsi="Times New Roman"/>
          <w:b/>
          <w:sz w:val="20"/>
        </w:rPr>
      </w:pPr>
      <w:r>
        <w:rPr>
          <w:rFonts w:ascii="Times New Roman" w:hAnsi="Times New Roman"/>
          <w:b/>
          <w:sz w:val="20"/>
        </w:rPr>
        <w:t xml:space="preserve">AND INCREASES FULL YEAR 2026 GUIDANCE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b/>
              </w:rPr>
            </w:pPr>
            <w:r>
              <w:rPr>
                <w:b/>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1Q26 Revenues Increased 17% to $705.2 Million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b/>
              </w:rPr>
            </w:pPr>
            <w:r>
              <w:rPr>
                <w:b/>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1Q26 Net Income Attributable to GEO Operations Increased 96% to $38.3 Million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b/>
              </w:rPr>
            </w:pPr>
            <w:r>
              <w:rPr>
                <w:b/>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1Q26 Adjusted EBITDA Increased 32% to $131.4 Million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b/>
              </w:rPr>
            </w:pPr>
            <w:r>
              <w:rPr>
                <w:b/>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Repurchased approximately 3.6 million shares for $50 million in 1Q26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b/>
              </w:rPr>
            </w:pPr>
            <w:r>
              <w:rPr>
                <w:b/>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Guidance for FY26 Revenues Increased to $2.95-$3.10 Billion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b/>
              </w:rPr>
            </w:pPr>
            <w:r>
              <w:rPr>
                <w:b/>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Guidance for FY26 Net Income Attributable to GEO Operations Increased to $153-$166 Million, or $1.15-$1.25 Per Diluted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b/>
              </w:rPr>
            </w:pPr>
            <w:r>
              <w:rPr>
                <w:b/>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Guidance for FY26 Adjusted EBITDA Increased to $525-$545 Million </w:t>
            </w:r>
          </w:p>
        </w:tc>
      </w:tr>
    </w:tbl>
    <w:p>
      <w:pPr>
        <w:pStyle w:val="TextBody"/>
        <w:bidi w:val="0"/>
        <w:spacing w:before="240" w:after="0"/>
        <w:jc w:val="left"/>
        <w:rPr>
          <w:rFonts w:ascii="Times New Roman" w:hAnsi="Times New Roman"/>
          <w:sz w:val="20"/>
        </w:rPr>
      </w:pPr>
      <w:r>
        <w:rPr>
          <w:rFonts w:ascii="Times New Roman" w:hAnsi="Times New Roman"/>
          <w:b/>
          <w:sz w:val="20"/>
        </w:rPr>
        <w:t>Boca Raton, Fla. – May</w:t>
      </w:r>
      <w:r>
        <w:rPr>
          <w:rFonts w:ascii="Times New Roman" w:hAnsi="Times New Roman"/>
          <w:sz w:val="20"/>
        </w:rPr>
        <w:t> </w:t>
      </w:r>
      <w:r>
        <w:rPr>
          <w:rFonts w:ascii="Times New Roman" w:hAnsi="Times New Roman"/>
          <w:b/>
          <w:sz w:val="20"/>
        </w:rPr>
        <w:t>6, 2026 —</w:t>
      </w:r>
      <w:r>
        <w:rPr>
          <w:rFonts w:ascii="Times New Roman" w:hAnsi="Times New Roman"/>
          <w:sz w:val="20"/>
        </w:rPr>
        <w:t xml:space="preserve"> </w:t>
      </w:r>
      <w:r>
        <w:rPr>
          <w:rFonts w:ascii="Times New Roman" w:hAnsi="Times New Roman"/>
          <w:b/>
          <w:sz w:val="20"/>
        </w:rPr>
        <w:t>The GEO Group, Inc. (NYSE: GEO)</w:t>
      </w:r>
      <w:r>
        <w:rPr>
          <w:rFonts w:ascii="Times New Roman" w:hAnsi="Times New Roman"/>
          <w:sz w:val="20"/>
        </w:rPr>
        <w:t xml:space="preserve"> (“GEO”, “we” or the “Company”), a leading provider of contracted support services for secure facilities, processing centers, and reentry centers, as well as enhanced in-custody rehabilitation, post-release support, and electronic monitoring programs, reported its financial results for the first quarter 2026, increased its full year 2026 financial guidance, and provided its second quarter 2026 financial guidance. </w:t>
      </w:r>
    </w:p>
    <w:p>
      <w:pPr>
        <w:pStyle w:val="TextBody"/>
        <w:bidi w:val="0"/>
        <w:spacing w:before="240" w:after="0"/>
        <w:jc w:val="left"/>
        <w:rPr>
          <w:rFonts w:ascii="Times New Roman" w:hAnsi="Times New Roman"/>
          <w:sz w:val="20"/>
        </w:rPr>
      </w:pPr>
      <w:r>
        <w:rPr>
          <w:rFonts w:ascii="Times New Roman" w:hAnsi="Times New Roman"/>
          <w:sz w:val="20"/>
        </w:rPr>
        <w:t xml:space="preserve">For the first quarter 2026, we reported total revenues of $705.2 million compared to $604.6 million for the first quarter 2025, reflecting a 17 percent increase. </w:t>
      </w:r>
    </w:p>
    <w:p>
      <w:pPr>
        <w:pStyle w:val="TextBody"/>
        <w:bidi w:val="0"/>
        <w:spacing w:before="240" w:after="0"/>
        <w:jc w:val="left"/>
        <w:rPr>
          <w:rFonts w:ascii="Times New Roman" w:hAnsi="Times New Roman"/>
          <w:sz w:val="20"/>
        </w:rPr>
      </w:pPr>
      <w:r>
        <w:rPr>
          <w:rFonts w:ascii="Times New Roman" w:hAnsi="Times New Roman"/>
          <w:sz w:val="20"/>
        </w:rPr>
        <w:t xml:space="preserve">We reported first quarter 2026 net income attributable to GEO Operations of $38.3 million, or $0.29 per diluted share, compared to net income attributable to GEO Operations of $19.6 million, or $0.14 per diluted share, for the first quarter 2025, reflecting a 96 percent increase. </w:t>
      </w:r>
    </w:p>
    <w:p>
      <w:pPr>
        <w:pStyle w:val="TextBody"/>
        <w:bidi w:val="0"/>
        <w:spacing w:before="240" w:after="0"/>
        <w:jc w:val="left"/>
        <w:rPr>
          <w:rFonts w:ascii="Times New Roman" w:hAnsi="Times New Roman"/>
          <w:sz w:val="20"/>
        </w:rPr>
      </w:pPr>
      <w:r>
        <w:rPr>
          <w:rFonts w:ascii="Times New Roman" w:hAnsi="Times New Roman"/>
          <w:sz w:val="20"/>
        </w:rPr>
        <w:t xml:space="preserve">First quarter 2026 results reflect $0.4 million, pre-tax, in combined transaction fees, employee restructuring expenses, and close-out expenses. Excluding these items, we reported adjusted net income for the first quarter 2026 of $38.6 million, or $0.29 per diluted share, compared to $19.6 million, or $0.14 per diluted share, for the first quarter 2025. </w:t>
      </w:r>
    </w:p>
    <w:p>
      <w:pPr>
        <w:pStyle w:val="TextBody"/>
        <w:bidi w:val="0"/>
        <w:spacing w:before="240" w:after="0"/>
        <w:jc w:val="left"/>
        <w:rPr>
          <w:rFonts w:ascii="Times New Roman" w:hAnsi="Times New Roman"/>
          <w:sz w:val="20"/>
        </w:rPr>
      </w:pPr>
      <w:r>
        <w:rPr>
          <w:rFonts w:ascii="Times New Roman" w:hAnsi="Times New Roman"/>
          <w:sz w:val="20"/>
        </w:rPr>
        <w:t xml:space="preserve">We reported first quarter 2026 Adjusted EBITDA of $131.4 million, compared to $99.8 million for the first quarter 2025, reflecting a 32 percent increase. </w:t>
      </w:r>
    </w:p>
    <w:p>
      <w:pPr>
        <w:pStyle w:val="TextBody"/>
        <w:bidi w:val="0"/>
        <w:spacing w:before="240" w:after="0"/>
        <w:jc w:val="left"/>
        <w:rPr>
          <w:rFonts w:ascii="Times New Roman" w:hAnsi="Times New Roman"/>
          <w:sz w:val="20"/>
        </w:rPr>
      </w:pPr>
      <w:r>
        <w:rPr>
          <w:rFonts w:ascii="Times New Roman" w:hAnsi="Times New Roman"/>
          <w:sz w:val="20"/>
        </w:rPr>
        <w:t xml:space="preserve">Our first quarter 2026 results reflect significant revenue growth from the contracts that we entered into throughout 2025. Operating Expenses were favorably impacted by lower-than-expected labor costs compared to our prior financial guidance for the first quarter 2026.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97"/>
        <w:gridCol w:w="123"/>
        <w:gridCol w:w="3233"/>
        <w:gridCol w:w="123"/>
        <w:gridCol w:w="3129"/>
      </w:tblGrid>
      <w:tr>
        <w:trPr/>
        <w:tc>
          <w:tcPr>
            <w:tcW w:w="3597"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233"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129" w:type="dxa"/>
            <w:tcBorders/>
            <w:vAlign w:val="center"/>
          </w:tcPr>
          <w:p>
            <w:pPr>
              <w:pStyle w:val="TableContents"/>
              <w:bidi w:val="0"/>
              <w:spacing w:before="0" w:after="283"/>
              <w:jc w:val="left"/>
              <w:rPr>
                <w:sz w:val="4"/>
                <w:szCs w:val="4"/>
              </w:rPr>
            </w:pPr>
            <w:r>
              <w:rPr>
                <w:sz w:val="4"/>
                <w:szCs w:val="4"/>
              </w:rPr>
            </w:r>
          </w:p>
        </w:tc>
      </w:tr>
      <w:tr>
        <w:trPr/>
        <w:tc>
          <w:tcPr>
            <w:tcW w:w="3597"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233" w:type="dxa"/>
            <w:tcBorders/>
          </w:tcPr>
          <w:p>
            <w:pPr>
              <w:pStyle w:val="TableContents"/>
              <w:bidi w:val="0"/>
              <w:spacing w:before="0" w:after="283"/>
              <w:jc w:val="center"/>
              <w:rPr/>
            </w:pPr>
            <w:r>
              <w:rPr/>
              <w:t xml:space="preserve">— </w:t>
            </w:r>
            <w:r>
              <w:rPr>
                <w:b/>
              </w:rPr>
              <w:t>More —</w:t>
            </w:r>
          </w:p>
        </w:tc>
        <w:tc>
          <w:tcPr>
            <w:tcW w:w="123" w:type="dxa"/>
            <w:tcBorders/>
            <w:vAlign w:val="bottom"/>
          </w:tcPr>
          <w:p>
            <w:pPr>
              <w:pStyle w:val="TableContents"/>
              <w:bidi w:val="0"/>
              <w:spacing w:before="0" w:after="283"/>
              <w:jc w:val="left"/>
              <w:rPr/>
            </w:pPr>
            <w:r>
              <w:rPr/>
              <w:t>  </w:t>
            </w:r>
          </w:p>
        </w:tc>
        <w:tc>
          <w:tcPr>
            <w:tcW w:w="3129" w:type="dxa"/>
            <w:tcBorders/>
          </w:tcPr>
          <w:p>
            <w:pPr>
              <w:pStyle w:val="TableContents"/>
              <w:bidi w:val="0"/>
              <w:spacing w:before="0" w:after="283"/>
              <w:jc w:val="left"/>
              <w:rPr>
                <w:sz w:val="4"/>
                <w:szCs w:val="4"/>
              </w:rPr>
            </w:pPr>
            <w:r>
              <w:rPr>
                <w:sz w:val="4"/>
                <w:szCs w:val="4"/>
              </w:rPr>
            </w:r>
          </w:p>
        </w:tc>
      </w:tr>
      <w:tr>
        <w:trPr/>
        <w:tc>
          <w:tcPr>
            <w:tcW w:w="3597" w:type="dxa"/>
            <w:tcBorders/>
          </w:tcPr>
          <w:p>
            <w:pPr>
              <w:pStyle w:val="TableContents"/>
              <w:bidi w:val="0"/>
              <w:spacing w:before="0" w:after="283"/>
              <w:jc w:val="left"/>
              <w:rPr/>
            </w:pPr>
            <w:r>
              <w:rPr>
                <w:b/>
              </w:rPr>
              <w:t xml:space="preserve">Contact: </w:t>
            </w:r>
            <w:r>
              <w:rPr/>
              <w:t>Pablo E. Paez</w:t>
            </w:r>
          </w:p>
        </w:tc>
        <w:tc>
          <w:tcPr>
            <w:tcW w:w="123" w:type="dxa"/>
            <w:tcBorders/>
            <w:vAlign w:val="bottom"/>
          </w:tcPr>
          <w:p>
            <w:pPr>
              <w:pStyle w:val="TableContents"/>
              <w:bidi w:val="0"/>
              <w:spacing w:before="0" w:after="283"/>
              <w:jc w:val="left"/>
              <w:rPr/>
            </w:pPr>
            <w:r>
              <w:rPr/>
              <w:t>  </w:t>
            </w:r>
          </w:p>
        </w:tc>
        <w:tc>
          <w:tcPr>
            <w:tcW w:w="3233"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129" w:type="dxa"/>
            <w:tcBorders/>
          </w:tcPr>
          <w:p>
            <w:pPr>
              <w:pStyle w:val="TableContents"/>
              <w:bidi w:val="0"/>
              <w:spacing w:before="0" w:after="283"/>
              <w:jc w:val="left"/>
              <w:rPr/>
            </w:pPr>
            <w:r>
              <w:rPr/>
              <w:t>(866) 301 4436</w:t>
            </w:r>
          </w:p>
        </w:tc>
      </w:tr>
      <w:tr>
        <w:trPr/>
        <w:tc>
          <w:tcPr>
            <w:tcW w:w="6953"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Executive Vice President, Corporate Relations</w:t>
            </w:r>
          </w:p>
        </w:tc>
        <w:tc>
          <w:tcPr>
            <w:tcW w:w="123" w:type="dxa"/>
            <w:tcBorders/>
            <w:vAlign w:val="bottom"/>
          </w:tcPr>
          <w:p>
            <w:pPr>
              <w:pStyle w:val="TableContents"/>
              <w:bidi w:val="0"/>
              <w:spacing w:before="0" w:after="283"/>
              <w:jc w:val="left"/>
              <w:rPr/>
            </w:pPr>
            <w:r>
              <w:rPr/>
              <w:t>  </w:t>
            </w:r>
          </w:p>
        </w:tc>
        <w:tc>
          <w:tcPr>
            <w:tcW w:w="3129"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b/>
          <w:sz w:val="20"/>
        </w:rPr>
      </w:pPr>
      <w:r>
        <w:rPr>
          <w:rFonts w:ascii="Times New Roman" w:hAnsi="Times New Roman"/>
          <w:b/>
          <w:sz w:val="20"/>
        </w:rPr>
        <w:t xml:space="preserve">N E W S R E L E A S 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George C. Zoley, GEO’s Chairman, Chief Executive Officer and Founder, said, “We are very pleased with our first quarter results and improved full year outlook. Our strong performance has been driven by the new growth opportunities we captured in 2025 and are normalizing in 2026. Last year was the most successful period for new business wins in our Company’s history with new or expanded contracts representing up to $520 million in annualized revenues. We expect 2026 to be very active as well and therefore believe that we have upside potential across our diversified business segments.” </w:t>
      </w:r>
    </w:p>
    <w:p>
      <w:pPr>
        <w:pStyle w:val="TextBody"/>
        <w:bidi w:val="0"/>
        <w:spacing w:before="240" w:after="0"/>
        <w:jc w:val="left"/>
        <w:rPr/>
      </w:pPr>
      <w:r>
        <w:rPr/>
        <w:t>“</w:t>
      </w:r>
      <w:r>
        <w:rPr>
          <w:rFonts w:ascii="Times New Roman" w:hAnsi="Times New Roman"/>
          <w:sz w:val="20"/>
        </w:rPr>
        <w:t xml:space="preserve">We remain focused on pursuing new growth opportunities and allocating capital to enhance long-term value for our shareholders. Given the intrinsic value of our assets, including 50,000 owned beds at 70 facilities, and our current and expected future growth, we believe that our stock offers a very attractive investment opportunity,” Zoley added. </w:t>
      </w:r>
    </w:p>
    <w:p>
      <w:pPr>
        <w:pStyle w:val="TextBody"/>
        <w:bidi w:val="0"/>
        <w:spacing w:before="360" w:after="0"/>
        <w:jc w:val="left"/>
        <w:rPr>
          <w:rFonts w:ascii="Times New Roman" w:hAnsi="Times New Roman"/>
          <w:b/>
          <w:sz w:val="20"/>
        </w:rPr>
      </w:pPr>
      <w:r>
        <w:rPr>
          <w:rFonts w:ascii="Times New Roman" w:hAnsi="Times New Roman"/>
          <w:b/>
          <w:sz w:val="20"/>
        </w:rPr>
        <w:t xml:space="preserve">Operational Highlights </w:t>
      </w:r>
    </w:p>
    <w:p>
      <w:pPr>
        <w:pStyle w:val="TextBody"/>
        <w:bidi w:val="0"/>
        <w:spacing w:before="120" w:after="0"/>
        <w:jc w:val="left"/>
        <w:rPr>
          <w:rFonts w:ascii="Times New Roman" w:hAnsi="Times New Roman"/>
          <w:sz w:val="20"/>
        </w:rPr>
      </w:pPr>
      <w:r>
        <w:rPr>
          <w:rFonts w:ascii="Times New Roman" w:hAnsi="Times New Roman"/>
          <w:sz w:val="20"/>
        </w:rPr>
        <w:t xml:space="preserve">As we have previously disclosed, in 2025, we were awarded new or expanded contracts that represent up to approximately $520 million in new incremental annualized revenues, which represents the largest amount of new business we have won in a single year in our Company’s history. </w:t>
      </w:r>
    </w:p>
    <w:p>
      <w:pPr>
        <w:pStyle w:val="TextBody"/>
        <w:bidi w:val="0"/>
        <w:spacing w:before="240" w:after="0"/>
        <w:jc w:val="left"/>
        <w:rPr>
          <w:rFonts w:ascii="Times New Roman" w:hAnsi="Times New Roman"/>
          <w:sz w:val="20"/>
        </w:rPr>
      </w:pPr>
      <w:r>
        <w:rPr>
          <w:rFonts w:ascii="Times New Roman" w:hAnsi="Times New Roman"/>
          <w:sz w:val="20"/>
        </w:rPr>
        <w:t xml:space="preserve">In our Secure Services segment, we entered into new contracts to house U.S. Immigration and Customs Enforcement (“ICE”) detainees at four facilities totaling approximately 6,000 beds, including three previously idle company-owned facilities in New Jersey, Michigan, and Georgia and a management services contract in Florida. We also reactivated our company-owned Adelanto ICE Processing Center in California, which was already under contract but had been underutilized due to a long-standing COVID-related court case. These facility activations represent annualized revenues of approximately $300 million. </w:t>
      </w:r>
    </w:p>
    <w:p>
      <w:pPr>
        <w:pStyle w:val="TextBody"/>
        <w:bidi w:val="0"/>
        <w:spacing w:before="240" w:after="0"/>
        <w:jc w:val="left"/>
        <w:rPr>
          <w:rFonts w:ascii="Times New Roman" w:hAnsi="Times New Roman"/>
          <w:sz w:val="20"/>
        </w:rPr>
      </w:pPr>
      <w:r>
        <w:rPr>
          <w:rFonts w:ascii="Times New Roman" w:hAnsi="Times New Roman"/>
          <w:sz w:val="20"/>
        </w:rPr>
        <w:t xml:space="preserve">We have also experienced a significant expansion in our secure transportation services on behalf of both ICE and the U.S. Marshals Service. In 2025, we entered into new or amended contracts to expand secure ground transportation services at four existing ICE facilities and at our three newly activated company-owned ICE facilities, and the support services that we provide under our ICE air transportation subcontract have continued to steadily increase. In addition, in 2025, we signed a new five-year contract with the U.S. Marshals covering 26 federal judicial districts and spanning 14 states. Overall, these new and expanded transportation services contracts are valued at approximately $60 million in incremental annualized revenue.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97"/>
        <w:gridCol w:w="123"/>
        <w:gridCol w:w="3233"/>
        <w:gridCol w:w="123"/>
        <w:gridCol w:w="3129"/>
      </w:tblGrid>
      <w:tr>
        <w:trPr/>
        <w:tc>
          <w:tcPr>
            <w:tcW w:w="3597"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233"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129" w:type="dxa"/>
            <w:tcBorders/>
            <w:vAlign w:val="center"/>
          </w:tcPr>
          <w:p>
            <w:pPr>
              <w:pStyle w:val="TableContents"/>
              <w:bidi w:val="0"/>
              <w:spacing w:before="0" w:after="283"/>
              <w:jc w:val="left"/>
              <w:rPr>
                <w:sz w:val="4"/>
                <w:szCs w:val="4"/>
              </w:rPr>
            </w:pPr>
            <w:r>
              <w:rPr>
                <w:sz w:val="4"/>
                <w:szCs w:val="4"/>
              </w:rPr>
            </w:r>
          </w:p>
        </w:tc>
      </w:tr>
      <w:tr>
        <w:trPr/>
        <w:tc>
          <w:tcPr>
            <w:tcW w:w="3597"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233" w:type="dxa"/>
            <w:tcBorders/>
          </w:tcPr>
          <w:p>
            <w:pPr>
              <w:pStyle w:val="TableContents"/>
              <w:bidi w:val="0"/>
              <w:spacing w:before="0" w:after="283"/>
              <w:jc w:val="center"/>
              <w:rPr/>
            </w:pPr>
            <w:r>
              <w:rPr/>
              <w:t xml:space="preserve">— </w:t>
            </w:r>
            <w:r>
              <w:rPr>
                <w:b/>
              </w:rPr>
              <w:t>More —</w:t>
            </w:r>
          </w:p>
        </w:tc>
        <w:tc>
          <w:tcPr>
            <w:tcW w:w="123" w:type="dxa"/>
            <w:tcBorders/>
            <w:vAlign w:val="bottom"/>
          </w:tcPr>
          <w:p>
            <w:pPr>
              <w:pStyle w:val="TableContents"/>
              <w:bidi w:val="0"/>
              <w:spacing w:before="0" w:after="283"/>
              <w:jc w:val="left"/>
              <w:rPr/>
            </w:pPr>
            <w:r>
              <w:rPr/>
              <w:t>  </w:t>
            </w:r>
          </w:p>
        </w:tc>
        <w:tc>
          <w:tcPr>
            <w:tcW w:w="3129" w:type="dxa"/>
            <w:tcBorders/>
          </w:tcPr>
          <w:p>
            <w:pPr>
              <w:pStyle w:val="TableContents"/>
              <w:bidi w:val="0"/>
              <w:spacing w:before="0" w:after="283"/>
              <w:jc w:val="left"/>
              <w:rPr>
                <w:sz w:val="4"/>
                <w:szCs w:val="4"/>
              </w:rPr>
            </w:pPr>
            <w:r>
              <w:rPr>
                <w:sz w:val="4"/>
                <w:szCs w:val="4"/>
              </w:rPr>
            </w:r>
          </w:p>
        </w:tc>
      </w:tr>
      <w:tr>
        <w:trPr/>
        <w:tc>
          <w:tcPr>
            <w:tcW w:w="3597" w:type="dxa"/>
            <w:tcBorders/>
          </w:tcPr>
          <w:p>
            <w:pPr>
              <w:pStyle w:val="TableContents"/>
              <w:bidi w:val="0"/>
              <w:spacing w:before="0" w:after="283"/>
              <w:jc w:val="left"/>
              <w:rPr/>
            </w:pPr>
            <w:r>
              <w:rPr>
                <w:b/>
              </w:rPr>
              <w:t xml:space="preserve">Contact: </w:t>
            </w:r>
            <w:r>
              <w:rPr/>
              <w:t>Pablo E. Paez</w:t>
            </w:r>
          </w:p>
        </w:tc>
        <w:tc>
          <w:tcPr>
            <w:tcW w:w="123" w:type="dxa"/>
            <w:tcBorders/>
            <w:vAlign w:val="bottom"/>
          </w:tcPr>
          <w:p>
            <w:pPr>
              <w:pStyle w:val="TableContents"/>
              <w:bidi w:val="0"/>
              <w:spacing w:before="0" w:after="283"/>
              <w:jc w:val="left"/>
              <w:rPr/>
            </w:pPr>
            <w:r>
              <w:rPr/>
              <w:t>  </w:t>
            </w:r>
          </w:p>
        </w:tc>
        <w:tc>
          <w:tcPr>
            <w:tcW w:w="3233"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129" w:type="dxa"/>
            <w:tcBorders/>
          </w:tcPr>
          <w:p>
            <w:pPr>
              <w:pStyle w:val="TableContents"/>
              <w:bidi w:val="0"/>
              <w:spacing w:before="0" w:after="283"/>
              <w:jc w:val="left"/>
              <w:rPr/>
            </w:pPr>
            <w:r>
              <w:rPr/>
              <w:t>(866) 301 4436</w:t>
            </w:r>
          </w:p>
        </w:tc>
      </w:tr>
      <w:tr>
        <w:trPr/>
        <w:tc>
          <w:tcPr>
            <w:tcW w:w="6953"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Executive Vice President, Corporate Relations</w:t>
            </w:r>
          </w:p>
        </w:tc>
        <w:tc>
          <w:tcPr>
            <w:tcW w:w="123" w:type="dxa"/>
            <w:tcBorders/>
            <w:vAlign w:val="bottom"/>
          </w:tcPr>
          <w:p>
            <w:pPr>
              <w:pStyle w:val="TableContents"/>
              <w:bidi w:val="0"/>
              <w:spacing w:before="0" w:after="283"/>
              <w:jc w:val="left"/>
              <w:rPr/>
            </w:pPr>
            <w:r>
              <w:rPr/>
              <w:t>  </w:t>
            </w:r>
          </w:p>
        </w:tc>
        <w:tc>
          <w:tcPr>
            <w:tcW w:w="3129"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b/>
          <w:sz w:val="20"/>
        </w:rPr>
      </w:pPr>
      <w:r>
        <w:rPr>
          <w:rFonts w:ascii="Times New Roman" w:hAnsi="Times New Roman"/>
          <w:b/>
          <w:sz w:val="20"/>
        </w:rPr>
        <w:t xml:space="preserve">N E W S R E L E A S 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Importantly, in 2025, we were awarded a new two-year contract for the Intensive Supervision and Appearance Program (“ISAP”), which provides electronic monitoring and case management services for individuals on the non-detained docket. ISAP relies on several forms of monitoring, including GPS ankle bracelets or wrist-worn devices and the SmartLINK mobile application. The number of ISAP participants on GPS ankle bracelets has increased to more than 48,000 currently from 17,000 in early 2025. Correspondingly, the number of ISAP participants on the SmartLINK mobile application has declined to approximately 131,000 currently from approximately 159,000 in early 2025. We have also seen an increase in the number of ISAP participants assigned to case management, which involves staff interaction and monitoring for approximately 111,000 individuals currently. </w:t>
      </w:r>
    </w:p>
    <w:p>
      <w:pPr>
        <w:pStyle w:val="TextBody"/>
        <w:bidi w:val="0"/>
        <w:spacing w:before="240" w:after="0"/>
        <w:jc w:val="left"/>
        <w:rPr>
          <w:rFonts w:ascii="Times New Roman" w:hAnsi="Times New Roman"/>
          <w:sz w:val="20"/>
        </w:rPr>
      </w:pPr>
      <w:r>
        <w:rPr>
          <w:rFonts w:ascii="Times New Roman" w:hAnsi="Times New Roman"/>
          <w:sz w:val="20"/>
        </w:rPr>
        <w:t xml:space="preserve">In the fourth quarter 2025, we were also awarded a new two-year contract by ICE for the provision of skip tracing services, valued at up to $60 million in revenues per year. We began providing skip tracing services under this new two-year contract in March 2026. </w:t>
      </w:r>
    </w:p>
    <w:p>
      <w:pPr>
        <w:pStyle w:val="TextBody"/>
        <w:bidi w:val="0"/>
        <w:spacing w:before="240" w:after="0"/>
        <w:jc w:val="left"/>
        <w:rPr>
          <w:rFonts w:ascii="Times New Roman" w:hAnsi="Times New Roman"/>
          <w:sz w:val="20"/>
        </w:rPr>
      </w:pPr>
      <w:r>
        <w:rPr>
          <w:rFonts w:ascii="Times New Roman" w:hAnsi="Times New Roman"/>
          <w:sz w:val="20"/>
        </w:rPr>
        <w:t xml:space="preserve">At the state level, we were awarded two new managed-only contracts in 2025 from the Florida Department of Corrections, valued at approximately $100 million in combined annualized revenues. The 1,884-bed Graceville Facility and the 985-bed Bay Facility are scheduled to transition to GEO management on July 1, 2026. </w:t>
      </w:r>
    </w:p>
    <w:p>
      <w:pPr>
        <w:pStyle w:val="TextBody"/>
        <w:bidi w:val="0"/>
        <w:spacing w:before="360" w:after="0"/>
        <w:jc w:val="left"/>
        <w:rPr>
          <w:rFonts w:ascii="Times New Roman" w:hAnsi="Times New Roman"/>
          <w:b/>
          <w:sz w:val="20"/>
        </w:rPr>
      </w:pPr>
      <w:r>
        <w:rPr>
          <w:rFonts w:ascii="Times New Roman" w:hAnsi="Times New Roman"/>
          <w:b/>
          <w:sz w:val="20"/>
        </w:rPr>
        <w:t xml:space="preserve">Financial Guidance </w:t>
      </w:r>
    </w:p>
    <w:p>
      <w:pPr>
        <w:pStyle w:val="TextBody"/>
        <w:bidi w:val="0"/>
        <w:spacing w:before="120" w:after="0"/>
        <w:jc w:val="left"/>
        <w:rPr>
          <w:rFonts w:ascii="Times New Roman" w:hAnsi="Times New Roman"/>
          <w:sz w:val="20"/>
        </w:rPr>
      </w:pPr>
      <w:r>
        <w:rPr>
          <w:rFonts w:ascii="Times New Roman" w:hAnsi="Times New Roman"/>
          <w:sz w:val="20"/>
        </w:rPr>
        <w:t xml:space="preserve">Today, we increased our financial guidance for the full year 2026 and issued our financial guidance for the second quarter 2026. We expect full year 2026 Net Income Attributable to GEO Operations to be in a range of $153 million to $166 million, or $1.15 to $1.25 per diluted share on annual revenues of $2.95 billion to $3.10 billion and based on an effective tax rate of approximately 30 percent, inclusive of known discrete items. We expect full year 2026 Adjusted EBITDA to be in a range of $525 million to $545 million. We expect total Capital Expenditures for the full year 2026 to be between $137.5 million and $162.5 million. </w:t>
      </w:r>
    </w:p>
    <w:p>
      <w:pPr>
        <w:pStyle w:val="TextBody"/>
        <w:bidi w:val="0"/>
        <w:spacing w:before="240" w:after="0"/>
        <w:jc w:val="left"/>
        <w:rPr>
          <w:rFonts w:ascii="Times New Roman" w:hAnsi="Times New Roman"/>
          <w:sz w:val="20"/>
        </w:rPr>
      </w:pPr>
      <w:r>
        <w:rPr>
          <w:rFonts w:ascii="Times New Roman" w:hAnsi="Times New Roman"/>
          <w:sz w:val="20"/>
        </w:rPr>
        <w:t xml:space="preserve">For the second quarter 2026, we expect Net Income Attributable to GEO Operations to be in a range of $33 million to $39 million, or $0.25 to $0.29 per diluted share, on quarterly revenues of $715 million to $725 million. We expect second quarter 2026 Adjusted EBITDA to be between $130 million and $135 million. </w:t>
      </w:r>
    </w:p>
    <w:p>
      <w:pPr>
        <w:pStyle w:val="TextBody"/>
        <w:bidi w:val="0"/>
        <w:spacing w:before="240" w:after="0"/>
        <w:jc w:val="left"/>
        <w:rPr>
          <w:rFonts w:ascii="Times New Roman" w:hAnsi="Times New Roman"/>
          <w:sz w:val="20"/>
        </w:rPr>
      </w:pPr>
      <w:r>
        <w:rPr>
          <w:rFonts w:ascii="Times New Roman" w:hAnsi="Times New Roman"/>
          <w:sz w:val="20"/>
        </w:rPr>
        <w:t xml:space="preserve">We believe there are several sources of potential upside that are not currently included in our guidance. With respect to revenues, sources of potential upside include additional growth in our Secure Services segment from the reactivation of additional idle facilities and/or higher overall populations across our active facilities; additional volume increases and/or accelerated technology and service mix shift in our ISAP contract; additional revenue from higher utilization of our skip tracing services contract; and additional growth in our secure transportation services segment. With respect to expenses, our guidance assumes a more moderate contribution from labor cost savings for the balance of 2026.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97"/>
        <w:gridCol w:w="123"/>
        <w:gridCol w:w="3233"/>
        <w:gridCol w:w="123"/>
        <w:gridCol w:w="3129"/>
      </w:tblGrid>
      <w:tr>
        <w:trPr/>
        <w:tc>
          <w:tcPr>
            <w:tcW w:w="3597"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233"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129" w:type="dxa"/>
            <w:tcBorders/>
            <w:vAlign w:val="center"/>
          </w:tcPr>
          <w:p>
            <w:pPr>
              <w:pStyle w:val="TableContents"/>
              <w:bidi w:val="0"/>
              <w:spacing w:before="0" w:after="283"/>
              <w:jc w:val="left"/>
              <w:rPr>
                <w:sz w:val="4"/>
                <w:szCs w:val="4"/>
              </w:rPr>
            </w:pPr>
            <w:r>
              <w:rPr>
                <w:sz w:val="4"/>
                <w:szCs w:val="4"/>
              </w:rPr>
            </w:r>
          </w:p>
        </w:tc>
      </w:tr>
      <w:tr>
        <w:trPr/>
        <w:tc>
          <w:tcPr>
            <w:tcW w:w="3597"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233" w:type="dxa"/>
            <w:tcBorders/>
          </w:tcPr>
          <w:p>
            <w:pPr>
              <w:pStyle w:val="TableContents"/>
              <w:bidi w:val="0"/>
              <w:spacing w:before="0" w:after="283"/>
              <w:jc w:val="center"/>
              <w:rPr/>
            </w:pPr>
            <w:r>
              <w:rPr/>
              <w:t xml:space="preserve">— </w:t>
            </w:r>
            <w:r>
              <w:rPr>
                <w:b/>
              </w:rPr>
              <w:t>More —</w:t>
            </w:r>
          </w:p>
        </w:tc>
        <w:tc>
          <w:tcPr>
            <w:tcW w:w="123" w:type="dxa"/>
            <w:tcBorders/>
            <w:vAlign w:val="bottom"/>
          </w:tcPr>
          <w:p>
            <w:pPr>
              <w:pStyle w:val="TableContents"/>
              <w:bidi w:val="0"/>
              <w:spacing w:before="0" w:after="283"/>
              <w:jc w:val="left"/>
              <w:rPr/>
            </w:pPr>
            <w:r>
              <w:rPr/>
              <w:t>  </w:t>
            </w:r>
          </w:p>
        </w:tc>
        <w:tc>
          <w:tcPr>
            <w:tcW w:w="3129" w:type="dxa"/>
            <w:tcBorders/>
          </w:tcPr>
          <w:p>
            <w:pPr>
              <w:pStyle w:val="TableContents"/>
              <w:bidi w:val="0"/>
              <w:spacing w:before="0" w:after="283"/>
              <w:jc w:val="left"/>
              <w:rPr>
                <w:sz w:val="4"/>
                <w:szCs w:val="4"/>
              </w:rPr>
            </w:pPr>
            <w:r>
              <w:rPr>
                <w:sz w:val="4"/>
                <w:szCs w:val="4"/>
              </w:rPr>
            </w:r>
          </w:p>
        </w:tc>
      </w:tr>
      <w:tr>
        <w:trPr/>
        <w:tc>
          <w:tcPr>
            <w:tcW w:w="3597" w:type="dxa"/>
            <w:tcBorders/>
          </w:tcPr>
          <w:p>
            <w:pPr>
              <w:pStyle w:val="TableContents"/>
              <w:bidi w:val="0"/>
              <w:spacing w:before="0" w:after="283"/>
              <w:jc w:val="left"/>
              <w:rPr/>
            </w:pPr>
            <w:r>
              <w:rPr>
                <w:b/>
              </w:rPr>
              <w:t xml:space="preserve">Contact: </w:t>
            </w:r>
            <w:r>
              <w:rPr/>
              <w:t>Pablo E. Paez</w:t>
            </w:r>
          </w:p>
        </w:tc>
        <w:tc>
          <w:tcPr>
            <w:tcW w:w="123" w:type="dxa"/>
            <w:tcBorders/>
            <w:vAlign w:val="bottom"/>
          </w:tcPr>
          <w:p>
            <w:pPr>
              <w:pStyle w:val="TableContents"/>
              <w:bidi w:val="0"/>
              <w:spacing w:before="0" w:after="283"/>
              <w:jc w:val="left"/>
              <w:rPr/>
            </w:pPr>
            <w:r>
              <w:rPr/>
              <w:t>  </w:t>
            </w:r>
          </w:p>
        </w:tc>
        <w:tc>
          <w:tcPr>
            <w:tcW w:w="3233"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129" w:type="dxa"/>
            <w:tcBorders/>
          </w:tcPr>
          <w:p>
            <w:pPr>
              <w:pStyle w:val="TableContents"/>
              <w:bidi w:val="0"/>
              <w:spacing w:before="0" w:after="283"/>
              <w:jc w:val="left"/>
              <w:rPr/>
            </w:pPr>
            <w:r>
              <w:rPr/>
              <w:t>(866) 301 4436</w:t>
            </w:r>
          </w:p>
        </w:tc>
      </w:tr>
      <w:tr>
        <w:trPr/>
        <w:tc>
          <w:tcPr>
            <w:tcW w:w="6953"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Executive Vice President, Corporate Relations</w:t>
            </w:r>
          </w:p>
        </w:tc>
        <w:tc>
          <w:tcPr>
            <w:tcW w:w="123" w:type="dxa"/>
            <w:tcBorders/>
            <w:vAlign w:val="bottom"/>
          </w:tcPr>
          <w:p>
            <w:pPr>
              <w:pStyle w:val="TableContents"/>
              <w:bidi w:val="0"/>
              <w:spacing w:before="0" w:after="283"/>
              <w:jc w:val="left"/>
              <w:rPr/>
            </w:pPr>
            <w:r>
              <w:rPr/>
              <w:t>  </w:t>
            </w:r>
          </w:p>
        </w:tc>
        <w:tc>
          <w:tcPr>
            <w:tcW w:w="3129"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b/>
          <w:sz w:val="20"/>
        </w:rPr>
      </w:pPr>
      <w:r>
        <w:rPr>
          <w:rFonts w:ascii="Times New Roman" w:hAnsi="Times New Roman"/>
          <w:b/>
          <w:sz w:val="20"/>
        </w:rPr>
        <w:t xml:space="preserve">N E W S R E L E A S E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Balance Sheet </w:t>
      </w:r>
    </w:p>
    <w:p>
      <w:pPr>
        <w:pStyle w:val="TextBody"/>
        <w:bidi w:val="0"/>
        <w:spacing w:before="120" w:after="0"/>
        <w:jc w:val="left"/>
        <w:rPr>
          <w:rFonts w:ascii="Times New Roman" w:hAnsi="Times New Roman"/>
          <w:sz w:val="20"/>
        </w:rPr>
      </w:pPr>
      <w:r>
        <w:rPr>
          <w:rFonts w:ascii="Times New Roman" w:hAnsi="Times New Roman"/>
          <w:sz w:val="20"/>
        </w:rPr>
        <w:t xml:space="preserve">At the end of the first quarter 2026, we had approximately $80 million in cash on hand and approximately $1.61 billion in total debt, resulting in total net debt of approximately $1.53 billion and total net leverage below 3.2 times Adjusted EBITDA for the trailing 12 months. With the recent expansion of our Revolving Credit Facility by $100 million, which we announced in January 2026, we believe we have substantial liquidity to support our diverse capital needs. </w:t>
      </w:r>
    </w:p>
    <w:p>
      <w:pPr>
        <w:pStyle w:val="TextBody"/>
        <w:bidi w:val="0"/>
        <w:spacing w:before="360" w:after="0"/>
        <w:jc w:val="left"/>
        <w:rPr>
          <w:rFonts w:ascii="Times New Roman" w:hAnsi="Times New Roman"/>
          <w:b/>
          <w:sz w:val="20"/>
        </w:rPr>
      </w:pPr>
      <w:r>
        <w:rPr>
          <w:rFonts w:ascii="Times New Roman" w:hAnsi="Times New Roman"/>
          <w:b/>
          <w:sz w:val="20"/>
        </w:rPr>
        <w:t xml:space="preserve">Share Repurchase Program </w:t>
      </w:r>
    </w:p>
    <w:p>
      <w:pPr>
        <w:pStyle w:val="TextBody"/>
        <w:bidi w:val="0"/>
        <w:spacing w:before="120" w:after="0"/>
        <w:jc w:val="left"/>
        <w:rPr>
          <w:rFonts w:ascii="Times New Roman" w:hAnsi="Times New Roman"/>
          <w:sz w:val="20"/>
        </w:rPr>
      </w:pPr>
      <w:r>
        <w:rPr>
          <w:rFonts w:ascii="Times New Roman" w:hAnsi="Times New Roman"/>
          <w:sz w:val="20"/>
        </w:rPr>
        <w:t xml:space="preserve">During the first quarter of 2026, we repurchased approximately 3.6 million shares of GEO common stock at an aggregate cost of approximately $50 million. As of March 31, 2026, we had repurchased approximately 8.5 million shares of GEO common stock at an aggregate cost of approximately $141 million under our $500 million share repurchase authorization, bringing our current outstanding share count to approximately 133.7 million and leaving approximately $359 million of repurchase authorization available under the share repurchase program. </w:t>
      </w:r>
    </w:p>
    <w:p>
      <w:pPr>
        <w:pStyle w:val="TextBody"/>
        <w:bidi w:val="0"/>
        <w:spacing w:before="240" w:after="0"/>
        <w:jc w:val="left"/>
        <w:rPr>
          <w:rFonts w:ascii="Times New Roman" w:hAnsi="Times New Roman"/>
          <w:sz w:val="20"/>
        </w:rPr>
      </w:pPr>
      <w:r>
        <w:rPr>
          <w:rFonts w:ascii="Times New Roman" w:hAnsi="Times New Roman"/>
          <w:sz w:val="20"/>
        </w:rPr>
        <w:t xml:space="preserve">Repurchases of GEO’s outstanding common stock will be made in accordance with applicable securities laws and may be made at our senior management’s discretion from time to time in the open market, by block purchase, through privately negotiated transactions, pursuant to a trading plan, or otherwise in compliance with Rule 10b-18 under the Securities Exchange Act of 1934, as amended. The authorization for the share repurchase program may be extended, increased, decreased, suspended or terminated by our Board of Directors in its discretion at any time. Repurchases of the Company’s common stock (and the timing thereof) will depend upon market conditions, regulatory requirements, the Company’s existing obligations, including its Credit Agreement, other corporate liquidity requirements and priorities and other factors as may be considered in the Company’s sole discretion. The authorization for the share repurchase program does not obligate GEO to purchase any particular amount of the Company’s common stock. </w:t>
      </w:r>
    </w:p>
    <w:p>
      <w:pPr>
        <w:pStyle w:val="TextBody"/>
        <w:bidi w:val="0"/>
        <w:spacing w:before="360" w:after="0"/>
        <w:jc w:val="left"/>
        <w:rPr>
          <w:rFonts w:ascii="Times New Roman" w:hAnsi="Times New Roman"/>
          <w:b/>
          <w:sz w:val="20"/>
        </w:rPr>
      </w:pPr>
      <w:r>
        <w:rPr>
          <w:rFonts w:ascii="Times New Roman" w:hAnsi="Times New Roman"/>
          <w:b/>
          <w:sz w:val="20"/>
        </w:rPr>
        <w:t xml:space="preserve">Conference Call Information </w:t>
      </w:r>
    </w:p>
    <w:p>
      <w:pPr>
        <w:pStyle w:val="TextBody"/>
        <w:bidi w:val="0"/>
        <w:spacing w:before="120" w:after="0"/>
        <w:jc w:val="left"/>
        <w:rPr>
          <w:rFonts w:ascii="Times New Roman" w:hAnsi="Times New Roman"/>
          <w:sz w:val="20"/>
        </w:rPr>
      </w:pPr>
      <w:r>
        <w:rPr>
          <w:rFonts w:ascii="Times New Roman" w:hAnsi="Times New Roman"/>
          <w:sz w:val="20"/>
        </w:rPr>
        <w:t xml:space="preserve">We have scheduled a conference call and webcast for today at 11:00 AM (Eastern Time) to discuss our first quarter 2026 financial results as well as our outlook. The call-in number for the U.S. is 1-877-250-1553 and the international call-in number is 1-412-542-4145. In addition, a live audio webcast of the conference call may be accessed on the Webcasts section under the News, Events and Reports tab of GEO’s investor relations webpage at </w:t>
      </w:r>
      <w:r>
        <w:rPr>
          <w:rFonts w:ascii="Times New Roman" w:hAnsi="Times New Roman"/>
          <w:sz w:val="20"/>
          <w:u w:val="single"/>
        </w:rPr>
        <w:t>investors.geogroup.com</w:t>
      </w:r>
      <w:r>
        <w:rPr>
          <w:rFonts w:ascii="Times New Roman" w:hAnsi="Times New Roman"/>
          <w:sz w:val="20"/>
        </w:rPr>
        <w:t xml:space="preserve">. A replay of the webcast will be available on the website for one year. A telephonic replay of the conference call will be available through May 13, 2026, at 1-855-669-9658 (U.S.) and 1-412-317-0088 (International). The participant passcode for the telephonic replay is 8366763.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97"/>
        <w:gridCol w:w="123"/>
        <w:gridCol w:w="3233"/>
        <w:gridCol w:w="123"/>
        <w:gridCol w:w="3129"/>
      </w:tblGrid>
      <w:tr>
        <w:trPr/>
        <w:tc>
          <w:tcPr>
            <w:tcW w:w="3597"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233"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129" w:type="dxa"/>
            <w:tcBorders/>
            <w:vAlign w:val="center"/>
          </w:tcPr>
          <w:p>
            <w:pPr>
              <w:pStyle w:val="TableContents"/>
              <w:bidi w:val="0"/>
              <w:spacing w:before="0" w:after="283"/>
              <w:jc w:val="left"/>
              <w:rPr>
                <w:sz w:val="4"/>
                <w:szCs w:val="4"/>
              </w:rPr>
            </w:pPr>
            <w:r>
              <w:rPr>
                <w:sz w:val="4"/>
                <w:szCs w:val="4"/>
              </w:rPr>
            </w:r>
          </w:p>
        </w:tc>
      </w:tr>
      <w:tr>
        <w:trPr/>
        <w:tc>
          <w:tcPr>
            <w:tcW w:w="3597"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233" w:type="dxa"/>
            <w:tcBorders/>
          </w:tcPr>
          <w:p>
            <w:pPr>
              <w:pStyle w:val="TableContents"/>
              <w:bidi w:val="0"/>
              <w:spacing w:before="0" w:after="283"/>
              <w:jc w:val="center"/>
              <w:rPr/>
            </w:pPr>
            <w:r>
              <w:rPr/>
              <w:t xml:space="preserve">— </w:t>
            </w:r>
            <w:r>
              <w:rPr>
                <w:b/>
              </w:rPr>
              <w:t>More —</w:t>
            </w:r>
          </w:p>
        </w:tc>
        <w:tc>
          <w:tcPr>
            <w:tcW w:w="123" w:type="dxa"/>
            <w:tcBorders/>
            <w:vAlign w:val="bottom"/>
          </w:tcPr>
          <w:p>
            <w:pPr>
              <w:pStyle w:val="TableContents"/>
              <w:bidi w:val="0"/>
              <w:spacing w:before="0" w:after="283"/>
              <w:jc w:val="left"/>
              <w:rPr/>
            </w:pPr>
            <w:r>
              <w:rPr/>
              <w:t>  </w:t>
            </w:r>
          </w:p>
        </w:tc>
        <w:tc>
          <w:tcPr>
            <w:tcW w:w="3129" w:type="dxa"/>
            <w:tcBorders/>
          </w:tcPr>
          <w:p>
            <w:pPr>
              <w:pStyle w:val="TableContents"/>
              <w:bidi w:val="0"/>
              <w:spacing w:before="0" w:after="283"/>
              <w:jc w:val="left"/>
              <w:rPr>
                <w:sz w:val="4"/>
                <w:szCs w:val="4"/>
              </w:rPr>
            </w:pPr>
            <w:r>
              <w:rPr>
                <w:sz w:val="4"/>
                <w:szCs w:val="4"/>
              </w:rPr>
            </w:r>
          </w:p>
        </w:tc>
      </w:tr>
      <w:tr>
        <w:trPr/>
        <w:tc>
          <w:tcPr>
            <w:tcW w:w="3597" w:type="dxa"/>
            <w:tcBorders/>
          </w:tcPr>
          <w:p>
            <w:pPr>
              <w:pStyle w:val="TableContents"/>
              <w:bidi w:val="0"/>
              <w:spacing w:before="0" w:after="283"/>
              <w:jc w:val="left"/>
              <w:rPr/>
            </w:pPr>
            <w:r>
              <w:rPr>
                <w:b/>
              </w:rPr>
              <w:t xml:space="preserve">Contact: </w:t>
            </w:r>
            <w:r>
              <w:rPr/>
              <w:t>Pablo E. Paez</w:t>
            </w:r>
          </w:p>
        </w:tc>
        <w:tc>
          <w:tcPr>
            <w:tcW w:w="123" w:type="dxa"/>
            <w:tcBorders/>
            <w:vAlign w:val="bottom"/>
          </w:tcPr>
          <w:p>
            <w:pPr>
              <w:pStyle w:val="TableContents"/>
              <w:bidi w:val="0"/>
              <w:spacing w:before="0" w:after="283"/>
              <w:jc w:val="left"/>
              <w:rPr/>
            </w:pPr>
            <w:r>
              <w:rPr/>
              <w:t>  </w:t>
            </w:r>
          </w:p>
        </w:tc>
        <w:tc>
          <w:tcPr>
            <w:tcW w:w="3233"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129" w:type="dxa"/>
            <w:tcBorders/>
          </w:tcPr>
          <w:p>
            <w:pPr>
              <w:pStyle w:val="TableContents"/>
              <w:bidi w:val="0"/>
              <w:spacing w:before="0" w:after="283"/>
              <w:jc w:val="left"/>
              <w:rPr/>
            </w:pPr>
            <w:r>
              <w:rPr/>
              <w:t>(866) 301 4436</w:t>
            </w:r>
          </w:p>
        </w:tc>
      </w:tr>
      <w:tr>
        <w:trPr/>
        <w:tc>
          <w:tcPr>
            <w:tcW w:w="6953"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Executive Vice President, Corporate Relations</w:t>
            </w:r>
          </w:p>
        </w:tc>
        <w:tc>
          <w:tcPr>
            <w:tcW w:w="123" w:type="dxa"/>
            <w:tcBorders/>
            <w:vAlign w:val="bottom"/>
          </w:tcPr>
          <w:p>
            <w:pPr>
              <w:pStyle w:val="TableContents"/>
              <w:bidi w:val="0"/>
              <w:spacing w:before="0" w:after="283"/>
              <w:jc w:val="left"/>
              <w:rPr/>
            </w:pPr>
            <w:r>
              <w:rPr/>
              <w:t>  </w:t>
            </w:r>
          </w:p>
        </w:tc>
        <w:tc>
          <w:tcPr>
            <w:tcW w:w="3129"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b/>
          <w:sz w:val="20"/>
        </w:rPr>
      </w:pPr>
      <w:r>
        <w:rPr>
          <w:rFonts w:ascii="Times New Roman" w:hAnsi="Times New Roman"/>
          <w:b/>
          <w:sz w:val="20"/>
        </w:rPr>
        <w:t xml:space="preserve">N E W S R E L E A S E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About The GEO Group </w:t>
      </w:r>
    </w:p>
    <w:p>
      <w:pPr>
        <w:pStyle w:val="TextBody"/>
        <w:bidi w:val="0"/>
        <w:spacing w:before="120" w:after="0"/>
        <w:jc w:val="left"/>
        <w:rPr>
          <w:rFonts w:ascii="Times New Roman" w:hAnsi="Times New Roman"/>
          <w:sz w:val="20"/>
        </w:rPr>
      </w:pPr>
      <w:r>
        <w:rPr>
          <w:rFonts w:ascii="Times New Roman" w:hAnsi="Times New Roman"/>
          <w:sz w:val="20"/>
        </w:rPr>
        <w:t xml:space="preserve">The GEO Group, Inc. (NYSE: GEO) is a leading diversified government service provider, specializing in design, financing, development, and support services for secure facilities, processing centers, and community reentry centers in the United States, Australia, South Africa, and the United Kingdom. GEO’s diversified services include enhanced in-custody rehabilitation and post-release support through the award-winning GEO Continuum of Care®, secure transportation, electronic monitoring, community-based programs, and correctional health and mental health care. GEO’s worldwide operations include the ownership and/or delivery of support services for 96 facilities totaling approximately 75,000 beds, including idle facilities and projects under development, with a workforce of up to approximately 20,000 employees. </w:t>
      </w:r>
    </w:p>
    <w:p>
      <w:pPr>
        <w:pStyle w:val="TextBody"/>
        <w:bidi w:val="0"/>
        <w:spacing w:before="360" w:after="0"/>
        <w:jc w:val="left"/>
        <w:rPr>
          <w:rFonts w:ascii="Times New Roman" w:hAnsi="Times New Roman"/>
          <w:b/>
          <w:sz w:val="20"/>
        </w:rPr>
      </w:pPr>
      <w:r>
        <w:rPr>
          <w:rFonts w:ascii="Times New Roman" w:hAnsi="Times New Roman"/>
          <w:b/>
          <w:sz w:val="20"/>
        </w:rPr>
        <w:t xml:space="preserve">Reconciliation Tables and Supplemental Information </w:t>
      </w:r>
    </w:p>
    <w:p>
      <w:pPr>
        <w:pStyle w:val="TextBody"/>
        <w:bidi w:val="0"/>
        <w:spacing w:before="120" w:after="0"/>
        <w:jc w:val="left"/>
        <w:rPr>
          <w:rFonts w:ascii="Times New Roman" w:hAnsi="Times New Roman"/>
          <w:sz w:val="20"/>
        </w:rPr>
      </w:pPr>
      <w:r>
        <w:rPr>
          <w:rFonts w:ascii="Times New Roman" w:hAnsi="Times New Roman"/>
          <w:sz w:val="20"/>
        </w:rPr>
        <w:t xml:space="preserve">GEO has made available Supplemental Information which contains reconciliation tables of Net Income Attributable to GEO Operations to Adjusted Net Income, and Net Income to EBITDA and Adjusted EBITDA, along with supplemental financial and operational information on GEO’s business and other important operating metrics. The reconciliation tables are also presented herein. Please see the section below titled “Note to Reconciliation Tables and Supplemental Disclosure - Important Information on GEO’s Non-GAAP Financial Measures” for information on how GEO defines these supplemental Non-GAAP financial measures and reconciles them to the most directly comparable GAAP measures. GEO’s Reconciliation Tables can be found herein and in GEO’s Supplemental Information available on GEO’s investor webpage at </w:t>
      </w:r>
      <w:r>
        <w:rPr>
          <w:rFonts w:ascii="Times New Roman" w:hAnsi="Times New Roman"/>
          <w:sz w:val="20"/>
          <w:u w:val="single"/>
        </w:rPr>
        <w:t>investors.geogroup.com</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Note to Reconciliation Tables and Supplemental Disclosure – </w:t>
      </w:r>
    </w:p>
    <w:p>
      <w:pPr>
        <w:pStyle w:val="TextBody"/>
        <w:bidi w:val="0"/>
        <w:spacing w:before="120" w:after="0"/>
        <w:jc w:val="left"/>
        <w:rPr>
          <w:rFonts w:ascii="Times New Roman" w:hAnsi="Times New Roman"/>
          <w:b/>
          <w:sz w:val="20"/>
        </w:rPr>
      </w:pPr>
      <w:r>
        <w:rPr>
          <w:rFonts w:ascii="Times New Roman" w:hAnsi="Times New Roman"/>
          <w:b/>
          <w:sz w:val="20"/>
        </w:rPr>
        <w:t xml:space="preserve">Important Information on GEO’s Non-GAAP Financial Measures </w:t>
      </w:r>
    </w:p>
    <w:p>
      <w:pPr>
        <w:pStyle w:val="TextBody"/>
        <w:bidi w:val="0"/>
        <w:spacing w:before="120" w:after="0"/>
        <w:jc w:val="left"/>
        <w:rPr>
          <w:rFonts w:ascii="Times New Roman" w:hAnsi="Times New Roman"/>
          <w:sz w:val="20"/>
        </w:rPr>
      </w:pPr>
      <w:r>
        <w:rPr>
          <w:rFonts w:ascii="Times New Roman" w:hAnsi="Times New Roman"/>
          <w:sz w:val="20"/>
        </w:rPr>
        <w:t xml:space="preserve">Adjusted Net Income, EBITDA, and Adjusted EBITDA are non-GAAP financial measures that are presented as supplemental disclosures. GEO has presented herein certain forward-looking statements about GEO’s future financial performance that include non-GAAP financial measures, including Net Debt, Net Leverage, and Adjusted EBITDA. The determination of the amounts that are included or excluded from these non-GAAP financial measures is a matter of management judgment and depends upon, among other factors, the nature of the underlying expense or income amounts recognized in a given period. While we have provided a high level reconciliation for the guidance ranges for full year 2026, we are unable to present a more detailed quantitative reconciliation of the forward-looking non-GAAP financial measures to their most directly comparable forward-looking GAAP financial measures because management cannot reliably predict all of the necessary components of such GAAP measures. The quantitative reconciliation of the forward-looking non-GAAP financial measures will be provided for completed annual and quarterly periods, as applicable, calculated in a consistent manner with the quantitative reconciliation of non-GAAP financial measures previously reported for completed annual and quarterly periods.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97"/>
        <w:gridCol w:w="123"/>
        <w:gridCol w:w="3233"/>
        <w:gridCol w:w="123"/>
        <w:gridCol w:w="3129"/>
      </w:tblGrid>
      <w:tr>
        <w:trPr/>
        <w:tc>
          <w:tcPr>
            <w:tcW w:w="3597"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233"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129" w:type="dxa"/>
            <w:tcBorders/>
            <w:vAlign w:val="center"/>
          </w:tcPr>
          <w:p>
            <w:pPr>
              <w:pStyle w:val="TableContents"/>
              <w:bidi w:val="0"/>
              <w:spacing w:before="0" w:after="283"/>
              <w:jc w:val="left"/>
              <w:rPr>
                <w:sz w:val="4"/>
                <w:szCs w:val="4"/>
              </w:rPr>
            </w:pPr>
            <w:r>
              <w:rPr>
                <w:sz w:val="4"/>
                <w:szCs w:val="4"/>
              </w:rPr>
            </w:r>
          </w:p>
        </w:tc>
      </w:tr>
      <w:tr>
        <w:trPr/>
        <w:tc>
          <w:tcPr>
            <w:tcW w:w="3597"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233" w:type="dxa"/>
            <w:tcBorders/>
          </w:tcPr>
          <w:p>
            <w:pPr>
              <w:pStyle w:val="TableContents"/>
              <w:bidi w:val="0"/>
              <w:spacing w:before="0" w:after="283"/>
              <w:jc w:val="center"/>
              <w:rPr/>
            </w:pPr>
            <w:r>
              <w:rPr/>
              <w:t xml:space="preserve">— </w:t>
            </w:r>
            <w:r>
              <w:rPr>
                <w:b/>
              </w:rPr>
              <w:t>More —</w:t>
            </w:r>
          </w:p>
        </w:tc>
        <w:tc>
          <w:tcPr>
            <w:tcW w:w="123" w:type="dxa"/>
            <w:tcBorders/>
            <w:vAlign w:val="bottom"/>
          </w:tcPr>
          <w:p>
            <w:pPr>
              <w:pStyle w:val="TableContents"/>
              <w:bidi w:val="0"/>
              <w:spacing w:before="0" w:after="283"/>
              <w:jc w:val="left"/>
              <w:rPr/>
            </w:pPr>
            <w:r>
              <w:rPr/>
              <w:t>  </w:t>
            </w:r>
          </w:p>
        </w:tc>
        <w:tc>
          <w:tcPr>
            <w:tcW w:w="3129" w:type="dxa"/>
            <w:tcBorders/>
          </w:tcPr>
          <w:p>
            <w:pPr>
              <w:pStyle w:val="TableContents"/>
              <w:bidi w:val="0"/>
              <w:spacing w:before="0" w:after="283"/>
              <w:jc w:val="left"/>
              <w:rPr>
                <w:sz w:val="4"/>
                <w:szCs w:val="4"/>
              </w:rPr>
            </w:pPr>
            <w:r>
              <w:rPr>
                <w:sz w:val="4"/>
                <w:szCs w:val="4"/>
              </w:rPr>
            </w:r>
          </w:p>
        </w:tc>
      </w:tr>
      <w:tr>
        <w:trPr/>
        <w:tc>
          <w:tcPr>
            <w:tcW w:w="3597" w:type="dxa"/>
            <w:tcBorders/>
          </w:tcPr>
          <w:p>
            <w:pPr>
              <w:pStyle w:val="TableContents"/>
              <w:bidi w:val="0"/>
              <w:spacing w:before="0" w:after="283"/>
              <w:jc w:val="left"/>
              <w:rPr/>
            </w:pPr>
            <w:r>
              <w:rPr>
                <w:b/>
              </w:rPr>
              <w:t xml:space="preserve">Contact: </w:t>
            </w:r>
            <w:r>
              <w:rPr/>
              <w:t>Pablo E. Paez</w:t>
            </w:r>
          </w:p>
        </w:tc>
        <w:tc>
          <w:tcPr>
            <w:tcW w:w="123" w:type="dxa"/>
            <w:tcBorders/>
            <w:vAlign w:val="bottom"/>
          </w:tcPr>
          <w:p>
            <w:pPr>
              <w:pStyle w:val="TableContents"/>
              <w:bidi w:val="0"/>
              <w:spacing w:before="0" w:after="283"/>
              <w:jc w:val="left"/>
              <w:rPr/>
            </w:pPr>
            <w:r>
              <w:rPr/>
              <w:t>  </w:t>
            </w:r>
          </w:p>
        </w:tc>
        <w:tc>
          <w:tcPr>
            <w:tcW w:w="3233"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129" w:type="dxa"/>
            <w:tcBorders/>
          </w:tcPr>
          <w:p>
            <w:pPr>
              <w:pStyle w:val="TableContents"/>
              <w:bidi w:val="0"/>
              <w:spacing w:before="0" w:after="283"/>
              <w:jc w:val="left"/>
              <w:rPr/>
            </w:pPr>
            <w:r>
              <w:rPr/>
              <w:t>(866) 301 4436</w:t>
            </w:r>
          </w:p>
        </w:tc>
      </w:tr>
      <w:tr>
        <w:trPr/>
        <w:tc>
          <w:tcPr>
            <w:tcW w:w="6953"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Executive Vice President, Corporate Relations</w:t>
            </w:r>
          </w:p>
        </w:tc>
        <w:tc>
          <w:tcPr>
            <w:tcW w:w="123" w:type="dxa"/>
            <w:tcBorders/>
            <w:vAlign w:val="bottom"/>
          </w:tcPr>
          <w:p>
            <w:pPr>
              <w:pStyle w:val="TableContents"/>
              <w:bidi w:val="0"/>
              <w:spacing w:before="0" w:after="283"/>
              <w:jc w:val="left"/>
              <w:rPr/>
            </w:pPr>
            <w:r>
              <w:rPr/>
              <w:t>  </w:t>
            </w:r>
          </w:p>
        </w:tc>
        <w:tc>
          <w:tcPr>
            <w:tcW w:w="3129"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b/>
          <w:sz w:val="20"/>
        </w:rPr>
      </w:pPr>
      <w:r>
        <w:rPr>
          <w:rFonts w:ascii="Times New Roman" w:hAnsi="Times New Roman"/>
          <w:b/>
          <w:sz w:val="20"/>
        </w:rPr>
        <w:t xml:space="preserve">N E W S R E L E A S 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Net Debt is defined as gross principal debt less cash on hand. Net Leverage is defined as Net Debt divided by Adjusted EBITDA. </w:t>
      </w:r>
    </w:p>
    <w:p>
      <w:pPr>
        <w:pStyle w:val="TextBody"/>
        <w:bidi w:val="0"/>
        <w:spacing w:before="240" w:after="0"/>
        <w:jc w:val="left"/>
        <w:rPr>
          <w:rFonts w:ascii="Times New Roman" w:hAnsi="Times New Roman"/>
          <w:sz w:val="20"/>
        </w:rPr>
      </w:pPr>
      <w:r>
        <w:rPr>
          <w:rFonts w:ascii="Times New Roman" w:hAnsi="Times New Roman"/>
          <w:sz w:val="20"/>
        </w:rPr>
        <w:t xml:space="preserve">EBITDA is defined as net income adjusted by adding provisions for income tax, interest expense, net of interest income, and depreciation and amortization. Adjusted EBITDA is defined as EBITDA adjusted for net loss attributable to non-controlling interests, stock-based compensation expenses, pre-tax, transaction fees, pre-tax, employee restructuring expenses, pre-tax, close-out expenses, pre-tax, other non-cash revenue and expenses, pre-tax, and certain other adjustments as defined from time to time. Given the nature of our business as a real estate owner and operator, we believe that EBITDA and Adjusted EBITDA are helpful to investors as measures of our operational performance because they provide an indication of our ability to incur and service debt, to satisfy general operating expenses, to make capital expenditures, and to fund other cash needs or reinvest cash into our business. </w:t>
      </w:r>
    </w:p>
    <w:p>
      <w:pPr>
        <w:pStyle w:val="TextBody"/>
        <w:bidi w:val="0"/>
        <w:spacing w:before="240" w:after="0"/>
        <w:jc w:val="left"/>
        <w:rPr>
          <w:rFonts w:ascii="Times New Roman" w:hAnsi="Times New Roman"/>
          <w:sz w:val="20"/>
        </w:rPr>
      </w:pPr>
      <w:r>
        <w:rPr>
          <w:rFonts w:ascii="Times New Roman" w:hAnsi="Times New Roman"/>
          <w:sz w:val="20"/>
        </w:rPr>
        <w:t xml:space="preserve">We believe that by removing the impact of our asset base (primarily depreciation and amortization) and excluding certain non-cash charges, amounts spent on interest and taxes, and certain other charges that are highly variable from year to year, EBITDA and Adjusted EBITDA provide our investors with performance measures that reflect the impact to operations from trends in occupancy rates, per diem rates and operating costs, providing a perspective not immediately apparent from net income. The adjustments we make to derive the non-GAAP measures of EBITDA and Adjusted EBITDA exclude items which may cause short-term fluctuations in income from continuing operations and which we do not consider to be the fundamental attributes or primary drivers of our business plan and they do not affect our overall long-term operating performance. EBITDA and Adjusted EBITDA provide disclosure on the same basis as that used by our management and provide consistency in our financial reporting, facilitate internal and external comparisons of our historical operating performance and our business units and provide continuity to investors for comparability purposes. </w:t>
      </w:r>
    </w:p>
    <w:p>
      <w:pPr>
        <w:pStyle w:val="TextBody"/>
        <w:bidi w:val="0"/>
        <w:spacing w:before="240" w:after="0"/>
        <w:jc w:val="left"/>
        <w:rPr>
          <w:rFonts w:ascii="Times New Roman" w:hAnsi="Times New Roman"/>
          <w:sz w:val="20"/>
        </w:rPr>
      </w:pPr>
      <w:r>
        <w:rPr>
          <w:rFonts w:ascii="Times New Roman" w:hAnsi="Times New Roman"/>
          <w:sz w:val="20"/>
        </w:rPr>
        <w:t xml:space="preserve">Adjusted Net Income is defined as net income attributable to GEO operations adjusted for certain items which by their nature are not comparable from period to period or that tend to obscure GEO’s actual operating performance, including for the periods presented transaction fees, pre-tax, employee restructuring expenses, pre-tax, close-out expenses, pre-tax, and tax effect of adjustments to net income attributable to GEO operations.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97"/>
        <w:gridCol w:w="123"/>
        <w:gridCol w:w="3233"/>
        <w:gridCol w:w="123"/>
        <w:gridCol w:w="3129"/>
      </w:tblGrid>
      <w:tr>
        <w:trPr/>
        <w:tc>
          <w:tcPr>
            <w:tcW w:w="3597"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233"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129" w:type="dxa"/>
            <w:tcBorders/>
            <w:vAlign w:val="center"/>
          </w:tcPr>
          <w:p>
            <w:pPr>
              <w:pStyle w:val="TableContents"/>
              <w:bidi w:val="0"/>
              <w:spacing w:before="0" w:after="283"/>
              <w:jc w:val="left"/>
              <w:rPr>
                <w:sz w:val="4"/>
                <w:szCs w:val="4"/>
              </w:rPr>
            </w:pPr>
            <w:r>
              <w:rPr>
                <w:sz w:val="4"/>
                <w:szCs w:val="4"/>
              </w:rPr>
            </w:r>
          </w:p>
        </w:tc>
      </w:tr>
      <w:tr>
        <w:trPr/>
        <w:tc>
          <w:tcPr>
            <w:tcW w:w="3597"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233" w:type="dxa"/>
            <w:tcBorders/>
          </w:tcPr>
          <w:p>
            <w:pPr>
              <w:pStyle w:val="TableContents"/>
              <w:bidi w:val="0"/>
              <w:spacing w:before="0" w:after="283"/>
              <w:jc w:val="center"/>
              <w:rPr/>
            </w:pPr>
            <w:r>
              <w:rPr/>
              <w:t xml:space="preserve">— </w:t>
            </w:r>
            <w:r>
              <w:rPr>
                <w:b/>
              </w:rPr>
              <w:t>More —</w:t>
            </w:r>
          </w:p>
        </w:tc>
        <w:tc>
          <w:tcPr>
            <w:tcW w:w="123" w:type="dxa"/>
            <w:tcBorders/>
            <w:vAlign w:val="bottom"/>
          </w:tcPr>
          <w:p>
            <w:pPr>
              <w:pStyle w:val="TableContents"/>
              <w:bidi w:val="0"/>
              <w:spacing w:before="0" w:after="283"/>
              <w:jc w:val="left"/>
              <w:rPr/>
            </w:pPr>
            <w:r>
              <w:rPr/>
              <w:t>  </w:t>
            </w:r>
          </w:p>
        </w:tc>
        <w:tc>
          <w:tcPr>
            <w:tcW w:w="3129" w:type="dxa"/>
            <w:tcBorders/>
          </w:tcPr>
          <w:p>
            <w:pPr>
              <w:pStyle w:val="TableContents"/>
              <w:bidi w:val="0"/>
              <w:spacing w:before="0" w:after="283"/>
              <w:jc w:val="left"/>
              <w:rPr>
                <w:sz w:val="4"/>
                <w:szCs w:val="4"/>
              </w:rPr>
            </w:pPr>
            <w:r>
              <w:rPr>
                <w:sz w:val="4"/>
                <w:szCs w:val="4"/>
              </w:rPr>
            </w:r>
          </w:p>
        </w:tc>
      </w:tr>
      <w:tr>
        <w:trPr/>
        <w:tc>
          <w:tcPr>
            <w:tcW w:w="3597" w:type="dxa"/>
            <w:tcBorders/>
          </w:tcPr>
          <w:p>
            <w:pPr>
              <w:pStyle w:val="TableContents"/>
              <w:bidi w:val="0"/>
              <w:spacing w:before="0" w:after="283"/>
              <w:jc w:val="left"/>
              <w:rPr/>
            </w:pPr>
            <w:r>
              <w:rPr>
                <w:b/>
              </w:rPr>
              <w:t xml:space="preserve">Contact: </w:t>
            </w:r>
            <w:r>
              <w:rPr/>
              <w:t>Pablo E. Paez</w:t>
            </w:r>
          </w:p>
        </w:tc>
        <w:tc>
          <w:tcPr>
            <w:tcW w:w="123" w:type="dxa"/>
            <w:tcBorders/>
            <w:vAlign w:val="bottom"/>
          </w:tcPr>
          <w:p>
            <w:pPr>
              <w:pStyle w:val="TableContents"/>
              <w:bidi w:val="0"/>
              <w:spacing w:before="0" w:after="283"/>
              <w:jc w:val="left"/>
              <w:rPr/>
            </w:pPr>
            <w:r>
              <w:rPr/>
              <w:t>  </w:t>
            </w:r>
          </w:p>
        </w:tc>
        <w:tc>
          <w:tcPr>
            <w:tcW w:w="3233"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129" w:type="dxa"/>
            <w:tcBorders/>
          </w:tcPr>
          <w:p>
            <w:pPr>
              <w:pStyle w:val="TableContents"/>
              <w:bidi w:val="0"/>
              <w:spacing w:before="0" w:after="283"/>
              <w:jc w:val="left"/>
              <w:rPr/>
            </w:pPr>
            <w:r>
              <w:rPr/>
              <w:t>(866) 301 4436</w:t>
            </w:r>
          </w:p>
        </w:tc>
      </w:tr>
      <w:tr>
        <w:trPr/>
        <w:tc>
          <w:tcPr>
            <w:tcW w:w="6953"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Executive Vice President, Corporate Relations</w:t>
            </w:r>
          </w:p>
        </w:tc>
        <w:tc>
          <w:tcPr>
            <w:tcW w:w="123" w:type="dxa"/>
            <w:tcBorders/>
            <w:vAlign w:val="bottom"/>
          </w:tcPr>
          <w:p>
            <w:pPr>
              <w:pStyle w:val="TableContents"/>
              <w:bidi w:val="0"/>
              <w:spacing w:before="0" w:after="283"/>
              <w:jc w:val="left"/>
              <w:rPr/>
            </w:pPr>
            <w:r>
              <w:rPr/>
              <w:t>  </w:t>
            </w:r>
          </w:p>
        </w:tc>
        <w:tc>
          <w:tcPr>
            <w:tcW w:w="3129"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b/>
          <w:sz w:val="20"/>
        </w:rPr>
      </w:pPr>
      <w:r>
        <w:rPr>
          <w:rFonts w:ascii="Times New Roman" w:hAnsi="Times New Roman"/>
          <w:b/>
          <w:sz w:val="20"/>
        </w:rPr>
        <w:t xml:space="preserve">N E W S R E L E A S E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Safe-Harbor Statement </w:t>
      </w:r>
    </w:p>
    <w:p>
      <w:pPr>
        <w:pStyle w:val="TextBody"/>
        <w:bidi w:val="0"/>
        <w:spacing w:before="120" w:after="0"/>
        <w:jc w:val="left"/>
        <w:rPr>
          <w:rFonts w:ascii="Times New Roman" w:hAnsi="Times New Roman"/>
          <w:i/>
          <w:sz w:val="20"/>
        </w:rPr>
      </w:pPr>
      <w:r>
        <w:rPr>
          <w:rFonts w:ascii="Times New Roman" w:hAnsi="Times New Roman"/>
          <w:i/>
          <w:sz w:val="20"/>
        </w:rPr>
        <w:t xml:space="preserve">This press release contains forward-looking statements regarding future events and future performance of GEO that involve risks and uncertainties that could materially and adversely affect actual results, including statements regarding GEO’s financial guidance for the full year and second quarter of 2026, the $500 million share repurchase program authorized by GEO’s Board of Directors, the anticipated timing and annualized revenues related to the activation of certain facilities and new and amended contracts, GEO’s ability to capture additional growth opportunities, and the Company’s efforts to strengthen its capital structure and enhance shareholder value through capital returns. Forward-looking statements generally can be identified by the use of forward-looking terminology such as “may,” “will,” “expect,” “anticipate,” “intend,” “plan,” “believe,” “seek,” “estimate,” or “continue” or the negative of such words and similar expressions. Risks and uncertainties that could cause actual results to vary from current expectations and forward-looking statements contained in this press release include, but are not limited to: (1) GEO’s ability to meet its financial guidance for the full year and second quarter of 2026 given the various risks to which its business is exposed; (2) GEO’s ability to execute on the $500 million share repurchase program authorized by GEO’s Board of Directors on the timeline it expects or at all; (3) GEO’s ability to deleverage and repay, refinance or otherwise address its debt maturities in an amount and on terms commercially acceptable to GEO, and on the timeline it expects or at all; (4) GEO’s ability to identify and successfully complete any potential sales of company-owned assets and businesses or potential acquisitions of assets or businesses on commercially advantageous terms on a timely basis, or at all; (5) changes in federal and state government policy, orders, directives, legislation and regulations that affect public-private partnerships with respect to secure, correctional and detention facilities, processing centers and reentry centers; (6) changes in federal immigration policy; (7) public and political opposition to the use of public-private partnerships with respect to secure correctional and detention facilities, processing centers and reentry centers; (8) the impact of any future global pandemic on GEO and GEO’s ability to mitigate the risks associated with such pandemic; (9) GEO’s ability to sustain or improve company-wide occupancy rates at its facilities; (10) fluctuations in GEO’s operating results, including as a result of contract activations, contract terminations, contract renegotiations, changes in occupancy levels and increases in GEO’s operating costs; (11) general economic and market conditions, including changes to governmental budgets and its impact on new contract terms, contract renewals, renegotiations, per diem rates, fixed payment provisions, and occupancy levels; (12) GEO’s ability to address inflationary pressures related to labor related expenses and other operating costs; (13) GEO’s ability to timely open facilities as planned, profitably manage such facilities and successfully integrate such facilities into GEO’s operations without substantial costs; (14) GEO’s ability to win management contracts for which it has submitted proposals and to retain existing management contracts; (15) risks associated with GEO’s ability to control operating costs associated with contract start-ups; (16) GEO’s ability to successfully pursue growth opportunities and continue to create shareholder value; (17) GEO’s ability to obtain financing or access the capital markets in the future on acceptable terms or at all; (18) any adverse impact on GEO’s financial results caused by any past or future federal government shutdown; (19) risks associated with the U.S. Supreme Court agreeing to hear GEO’s appeal in the Nwauzor Case and GEO’s ability to prevail on the merits; and (20) other factors contained in GEO’s Securities and Exchange Commission periodic filings, including its Form 10-K, 10-Q and 8-K reports, many of which are difficult to predict and outside of GEO’s control.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628"/>
        <w:gridCol w:w="120"/>
        <w:gridCol w:w="3169"/>
        <w:gridCol w:w="120"/>
        <w:gridCol w:w="3168"/>
      </w:tblGrid>
      <w:tr>
        <w:trPr/>
        <w:tc>
          <w:tcPr>
            <w:tcW w:w="3628"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169"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168" w:type="dxa"/>
            <w:tcBorders/>
            <w:vAlign w:val="center"/>
          </w:tcPr>
          <w:p>
            <w:pPr>
              <w:pStyle w:val="TableContents"/>
              <w:bidi w:val="0"/>
              <w:spacing w:before="0" w:after="283"/>
              <w:jc w:val="left"/>
              <w:rPr>
                <w:sz w:val="4"/>
                <w:szCs w:val="4"/>
              </w:rPr>
            </w:pPr>
            <w:r>
              <w:rPr>
                <w:sz w:val="4"/>
                <w:szCs w:val="4"/>
              </w:rPr>
            </w:r>
          </w:p>
        </w:tc>
      </w:tr>
      <w:tr>
        <w:trPr/>
        <w:tc>
          <w:tcPr>
            <w:tcW w:w="3628" w:type="dxa"/>
            <w:tcBorders/>
          </w:tcPr>
          <w:p>
            <w:pPr>
              <w:pStyle w:val="TableContents"/>
              <w:bidi w:val="0"/>
              <w:spacing w:before="0" w:after="283"/>
              <w:jc w:val="left"/>
              <w:rPr/>
            </w:pPr>
            <w:r>
              <w:rPr>
                <w:b/>
              </w:rPr>
              <w:t xml:space="preserve">Contact: </w:t>
            </w:r>
            <w:r>
              <w:rPr/>
              <w:t>Pablo E. Paez</w:t>
            </w:r>
          </w:p>
        </w:tc>
        <w:tc>
          <w:tcPr>
            <w:tcW w:w="120" w:type="dxa"/>
            <w:tcBorders/>
            <w:vAlign w:val="bottom"/>
          </w:tcPr>
          <w:p>
            <w:pPr>
              <w:pStyle w:val="TableContents"/>
              <w:bidi w:val="0"/>
              <w:spacing w:before="0" w:after="283"/>
              <w:jc w:val="left"/>
              <w:rPr/>
            </w:pPr>
            <w:r>
              <w:rPr/>
              <w:t>  </w:t>
            </w:r>
          </w:p>
        </w:tc>
        <w:tc>
          <w:tcPr>
            <w:tcW w:w="3169"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168" w:type="dxa"/>
            <w:tcBorders/>
          </w:tcPr>
          <w:p>
            <w:pPr>
              <w:pStyle w:val="TableContents"/>
              <w:bidi w:val="0"/>
              <w:spacing w:before="0" w:after="283"/>
              <w:jc w:val="left"/>
              <w:rPr/>
            </w:pPr>
            <w:r>
              <w:rPr/>
              <w:t>(866) 301 4436</w:t>
            </w:r>
          </w:p>
        </w:tc>
      </w:tr>
      <w:tr>
        <w:trPr/>
        <w:tc>
          <w:tcPr>
            <w:tcW w:w="6917"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Executive Vice President, Corporate Relations</w:t>
            </w:r>
          </w:p>
        </w:tc>
        <w:tc>
          <w:tcPr>
            <w:tcW w:w="120" w:type="dxa"/>
            <w:tcBorders/>
            <w:vAlign w:val="bottom"/>
          </w:tcPr>
          <w:p>
            <w:pPr>
              <w:pStyle w:val="TableContents"/>
              <w:bidi w:val="0"/>
              <w:spacing w:before="0" w:after="283"/>
              <w:jc w:val="left"/>
              <w:rPr/>
            </w:pPr>
            <w:r>
              <w:rPr/>
              <w:t>  </w:t>
            </w:r>
          </w:p>
        </w:tc>
        <w:tc>
          <w:tcPr>
            <w:tcW w:w="3168"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b/>
          <w:sz w:val="20"/>
        </w:rPr>
      </w:pPr>
      <w:r>
        <w:rPr>
          <w:rFonts w:ascii="Times New Roman" w:hAnsi="Times New Roman"/>
          <w:b/>
          <w:sz w:val="20"/>
        </w:rPr>
        <w:t xml:space="preserve">N E W S R E L E A S E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First quarter 2026 financial tables to follow: </w:t>
      </w:r>
    </w:p>
    <w:p>
      <w:pPr>
        <w:pStyle w:val="TextBody"/>
        <w:bidi w:val="0"/>
        <w:spacing w:before="120" w:after="0"/>
        <w:jc w:val="left"/>
        <w:rPr>
          <w:rFonts w:ascii="Times New Roman" w:hAnsi="Times New Roman"/>
          <w:b/>
          <w:sz w:val="20"/>
        </w:rPr>
      </w:pPr>
      <w:r>
        <w:rPr>
          <w:rFonts w:ascii="Times New Roman" w:hAnsi="Times New Roman"/>
          <w:b/>
          <w:sz w:val="20"/>
          <w:u w:val="single"/>
        </w:rPr>
        <w:t>Condensed Consolidated Balance Sheets</w:t>
      </w:r>
      <w:r>
        <w:rPr>
          <w:rFonts w:ascii="Times New Roman" w:hAnsi="Times New Roman"/>
          <w:b/>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904"/>
        <w:gridCol w:w="329"/>
        <w:gridCol w:w="197"/>
        <w:gridCol w:w="1397"/>
        <w:gridCol w:w="60"/>
        <w:gridCol w:w="329"/>
        <w:gridCol w:w="238"/>
        <w:gridCol w:w="1687"/>
        <w:gridCol w:w="64"/>
      </w:tblGrid>
      <w:tr>
        <w:trPr/>
        <w:tc>
          <w:tcPr>
            <w:tcW w:w="5904" w:type="dxa"/>
            <w:tcBorders/>
            <w:vAlign w:val="center"/>
          </w:tcPr>
          <w:p>
            <w:pPr>
              <w:pStyle w:val="TableContents"/>
              <w:bidi w:val="0"/>
              <w:spacing w:before="0" w:after="283"/>
              <w:jc w:val="left"/>
              <w:rPr>
                <w:sz w:val="4"/>
                <w:szCs w:val="4"/>
              </w:rPr>
            </w:pPr>
            <w:r>
              <w:rPr>
                <w:sz w:val="4"/>
                <w:szCs w:val="4"/>
              </w:rPr>
            </w:r>
          </w:p>
        </w:tc>
        <w:tc>
          <w:tcPr>
            <w:tcW w:w="329" w:type="dxa"/>
            <w:tcBorders/>
            <w:vAlign w:val="bottom"/>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9" w:type="dxa"/>
            <w:tcBorders/>
            <w:vAlign w:val="bottom"/>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687"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5904" w:type="dxa"/>
            <w:tcBorders/>
            <w:vAlign w:val="bottom"/>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1594" w:type="dxa"/>
            <w:gridSpan w:val="2"/>
            <w:tcBorders>
              <w:bottom w:val="single" w:sz="8" w:space="0" w:color="000000"/>
            </w:tcBorders>
            <w:tcMar>
              <w:bottom w:w="28" w:type="dxa"/>
            </w:tcMar>
            <w:vAlign w:val="bottom"/>
          </w:tcPr>
          <w:p>
            <w:pPr>
              <w:pStyle w:val="TableContents"/>
              <w:bidi w:val="0"/>
              <w:spacing w:before="0" w:after="283"/>
              <w:jc w:val="center"/>
              <w:rPr/>
            </w:pPr>
            <w:r>
              <w:rPr>
                <w:b/>
              </w:rPr>
              <w:t>As of</w:t>
            </w:r>
            <w:r>
              <w:rPr/>
              <w:br/>
            </w:r>
            <w:r>
              <w:rPr>
                <w:b/>
                <w:i/>
              </w:rPr>
              <w:t>March 31, 2026</w:t>
            </w:r>
          </w:p>
        </w:tc>
        <w:tc>
          <w:tcPr>
            <w:tcW w:w="60" w:type="dxa"/>
            <w:tcBorders/>
            <w:vAlign w:val="bottom"/>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1925" w:type="dxa"/>
            <w:gridSpan w:val="2"/>
            <w:tcBorders>
              <w:bottom w:val="single" w:sz="8" w:space="0" w:color="000000"/>
            </w:tcBorders>
            <w:tcMar>
              <w:bottom w:w="28" w:type="dxa"/>
            </w:tcMar>
            <w:vAlign w:val="bottom"/>
          </w:tcPr>
          <w:p>
            <w:pPr>
              <w:pStyle w:val="TableContents"/>
              <w:bidi w:val="0"/>
              <w:spacing w:before="0" w:after="283"/>
              <w:jc w:val="center"/>
              <w:rPr/>
            </w:pPr>
            <w:r>
              <w:rPr>
                <w:b/>
              </w:rPr>
              <w:t>As of</w:t>
            </w:r>
            <w:r>
              <w:rPr/>
              <w:br/>
            </w:r>
            <w:r>
              <w:rPr>
                <w:b/>
                <w:i/>
              </w:rPr>
              <w:t>December 31, 2025</w:t>
            </w:r>
          </w:p>
        </w:tc>
        <w:tc>
          <w:tcPr>
            <w:tcW w:w="64" w:type="dxa"/>
            <w:tcBorders/>
            <w:vAlign w:val="bottom"/>
          </w:tcPr>
          <w:p>
            <w:pPr>
              <w:pStyle w:val="TableContents"/>
              <w:bidi w:val="0"/>
              <w:spacing w:before="0" w:after="283"/>
              <w:jc w:val="left"/>
              <w:rPr/>
            </w:pPr>
            <w:r>
              <w:rPr/>
              <w:t> </w:t>
            </w:r>
          </w:p>
        </w:tc>
      </w:tr>
      <w:tr>
        <w:trPr/>
        <w:tc>
          <w:tcPr>
            <w:tcW w:w="5904" w:type="dxa"/>
            <w:tcBorders/>
            <w:vAlign w:val="bottom"/>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1594" w:type="dxa"/>
            <w:gridSpan w:val="2"/>
            <w:tcBorders/>
            <w:vAlign w:val="bottom"/>
          </w:tcPr>
          <w:p>
            <w:pPr>
              <w:pStyle w:val="TableContents"/>
              <w:bidi w:val="0"/>
              <w:spacing w:before="0" w:after="283"/>
              <w:jc w:val="center"/>
              <w:rPr>
                <w:i/>
              </w:rPr>
            </w:pPr>
            <w:r>
              <w:rPr>
                <w:i/>
              </w:rPr>
              <w:t>(unaudited)</w:t>
            </w:r>
          </w:p>
        </w:tc>
        <w:tc>
          <w:tcPr>
            <w:tcW w:w="60" w:type="dxa"/>
            <w:tcBorders/>
            <w:vAlign w:val="bottom"/>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1925" w:type="dxa"/>
            <w:gridSpan w:val="2"/>
            <w:tcBorders/>
            <w:vAlign w:val="bottom"/>
          </w:tcPr>
          <w:p>
            <w:pPr>
              <w:pStyle w:val="TableContents"/>
              <w:bidi w:val="0"/>
              <w:spacing w:before="0" w:after="283"/>
              <w:jc w:val="center"/>
              <w:rPr>
                <w:i/>
              </w:rPr>
            </w:pPr>
            <w:r>
              <w:rPr>
                <w:i/>
              </w:rPr>
              <w:t>(unaudited)</w:t>
            </w:r>
          </w:p>
        </w:tc>
        <w:tc>
          <w:tcPr>
            <w:tcW w:w="64" w:type="dxa"/>
            <w:tcBorders/>
            <w:vAlign w:val="bottom"/>
          </w:tcPr>
          <w:p>
            <w:pPr>
              <w:pStyle w:val="TableContents"/>
              <w:bidi w:val="0"/>
              <w:spacing w:before="0" w:after="283"/>
              <w:jc w:val="left"/>
              <w:rPr/>
            </w:pPr>
            <w:r>
              <w:rPr/>
              <w:t> </w:t>
            </w:r>
          </w:p>
        </w:tc>
      </w:tr>
      <w:tr>
        <w:trPr/>
        <w:tc>
          <w:tcPr>
            <w:tcW w:w="5904" w:type="dxa"/>
            <w:tcBorders/>
            <w:shd w:fill="CCEEFF" w:val="clear"/>
          </w:tcPr>
          <w:p>
            <w:pPr>
              <w:pStyle w:val="TableContents"/>
              <w:bidi w:val="0"/>
              <w:spacing w:before="0" w:after="283"/>
              <w:jc w:val="center"/>
              <w:rPr>
                <w:b/>
              </w:rPr>
            </w:pPr>
            <w:r>
              <w:rPr>
                <w:b/>
              </w:rPr>
              <w:t>ASSETS</w:t>
            </w:r>
          </w:p>
        </w:tc>
        <w:tc>
          <w:tcPr>
            <w:tcW w:w="329"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sz w:val="4"/>
                <w:szCs w:val="4"/>
              </w:rPr>
            </w:pPr>
            <w:r>
              <w:rPr>
                <w:sz w:val="4"/>
                <w:szCs w:val="4"/>
              </w:rPr>
            </w:r>
          </w:p>
        </w:tc>
        <w:tc>
          <w:tcPr>
            <w:tcW w:w="139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29"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sz w:val="4"/>
                <w:szCs w:val="4"/>
              </w:rPr>
            </w:pPr>
            <w:r>
              <w:rPr>
                <w:sz w:val="4"/>
                <w:szCs w:val="4"/>
              </w:rPr>
            </w:r>
          </w:p>
        </w:tc>
        <w:tc>
          <w:tcPr>
            <w:tcW w:w="1687"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5904" w:type="dxa"/>
            <w:tcBorders/>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329"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w:t>
            </w:r>
          </w:p>
        </w:tc>
        <w:tc>
          <w:tcPr>
            <w:tcW w:w="1397" w:type="dxa"/>
            <w:tcBorders/>
            <w:vAlign w:val="bottom"/>
          </w:tcPr>
          <w:p>
            <w:pPr>
              <w:pStyle w:val="TableContents"/>
              <w:bidi w:val="0"/>
              <w:spacing w:before="0" w:after="283"/>
              <w:jc w:val="right"/>
              <w:rPr/>
            </w:pPr>
            <w:r>
              <w:rPr/>
              <w:t>80,217</w:t>
            </w:r>
          </w:p>
        </w:tc>
        <w:tc>
          <w:tcPr>
            <w:tcW w:w="60" w:type="dxa"/>
            <w:tcBorders/>
            <w:vAlign w:val="bottom"/>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w:t>
            </w:r>
          </w:p>
        </w:tc>
        <w:tc>
          <w:tcPr>
            <w:tcW w:w="1687" w:type="dxa"/>
            <w:tcBorders/>
            <w:vAlign w:val="bottom"/>
          </w:tcPr>
          <w:p>
            <w:pPr>
              <w:pStyle w:val="TableContents"/>
              <w:bidi w:val="0"/>
              <w:spacing w:before="0" w:after="283"/>
              <w:jc w:val="right"/>
              <w:rPr/>
            </w:pPr>
            <w:r>
              <w:rPr/>
              <w:t>68,995</w:t>
            </w:r>
          </w:p>
        </w:tc>
        <w:tc>
          <w:tcPr>
            <w:tcW w:w="64" w:type="dxa"/>
            <w:tcBorders/>
            <w:vAlign w:val="bottom"/>
          </w:tcPr>
          <w:p>
            <w:pPr>
              <w:pStyle w:val="TableContents"/>
              <w:bidi w:val="0"/>
              <w:spacing w:before="0" w:after="283"/>
              <w:jc w:val="left"/>
              <w:rPr/>
            </w:pPr>
            <w:r>
              <w:rPr/>
              <w:t> </w:t>
            </w:r>
          </w:p>
        </w:tc>
      </w:tr>
      <w:tr>
        <w:trPr/>
        <w:tc>
          <w:tcPr>
            <w:tcW w:w="59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Restricted cash and cash equivalents</w:t>
            </w:r>
          </w:p>
        </w:tc>
        <w:tc>
          <w:tcPr>
            <w:tcW w:w="329"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39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29"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 </w:t>
            </w:r>
          </w:p>
        </w:tc>
        <w:tc>
          <w:tcPr>
            <w:tcW w:w="1687" w:type="dxa"/>
            <w:tcBorders/>
            <w:shd w:fill="CCEEFF" w:val="clear"/>
            <w:vAlign w:val="bottom"/>
          </w:tcPr>
          <w:p>
            <w:pPr>
              <w:pStyle w:val="TableContents"/>
              <w:bidi w:val="0"/>
              <w:spacing w:before="0" w:after="283"/>
              <w:jc w:val="right"/>
              <w:rPr/>
            </w:pPr>
            <w:r>
              <w:rPr/>
              <w:t>2,998</w:t>
            </w:r>
          </w:p>
        </w:tc>
        <w:tc>
          <w:tcPr>
            <w:tcW w:w="64" w:type="dxa"/>
            <w:tcBorders/>
            <w:shd w:fill="CCEEFF" w:val="clear"/>
            <w:vAlign w:val="bottom"/>
          </w:tcPr>
          <w:p>
            <w:pPr>
              <w:pStyle w:val="TableContents"/>
              <w:bidi w:val="0"/>
              <w:spacing w:before="0" w:after="283"/>
              <w:jc w:val="left"/>
              <w:rPr/>
            </w:pPr>
            <w:r>
              <w:rPr/>
              <w:t> </w:t>
            </w:r>
          </w:p>
        </w:tc>
      </w:tr>
      <w:tr>
        <w:trPr/>
        <w:tc>
          <w:tcPr>
            <w:tcW w:w="5904" w:type="dxa"/>
            <w:tcBorders/>
          </w:tcPr>
          <w:p>
            <w:pPr>
              <w:pStyle w:val="TableContents"/>
              <w:bidi w:val="0"/>
              <w:spacing w:before="0" w:after="0"/>
              <w:jc w:val="left"/>
              <w:rPr>
                <w:rFonts w:ascii="Times New Roman" w:hAnsi="Times New Roman"/>
                <w:sz w:val="20"/>
              </w:rPr>
            </w:pPr>
            <w:r>
              <w:rPr>
                <w:rFonts w:ascii="Times New Roman" w:hAnsi="Times New Roman"/>
                <w:sz w:val="20"/>
              </w:rPr>
              <w:t>Accounts receivable, less allowance for doubtful accounts</w:t>
            </w:r>
          </w:p>
        </w:tc>
        <w:tc>
          <w:tcPr>
            <w:tcW w:w="329"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397" w:type="dxa"/>
            <w:tcBorders/>
            <w:vAlign w:val="bottom"/>
          </w:tcPr>
          <w:p>
            <w:pPr>
              <w:pStyle w:val="TableContents"/>
              <w:bidi w:val="0"/>
              <w:spacing w:before="0" w:after="283"/>
              <w:jc w:val="right"/>
              <w:rPr/>
            </w:pPr>
            <w:r>
              <w:rPr/>
              <w:t>573,375</w:t>
            </w:r>
          </w:p>
        </w:tc>
        <w:tc>
          <w:tcPr>
            <w:tcW w:w="60" w:type="dxa"/>
            <w:tcBorders/>
            <w:vAlign w:val="bottom"/>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1687" w:type="dxa"/>
            <w:tcBorders/>
            <w:vAlign w:val="bottom"/>
          </w:tcPr>
          <w:p>
            <w:pPr>
              <w:pStyle w:val="TableContents"/>
              <w:bidi w:val="0"/>
              <w:spacing w:before="0" w:after="283"/>
              <w:jc w:val="right"/>
              <w:rPr/>
            </w:pPr>
            <w:r>
              <w:rPr/>
              <w:t>593,463</w:t>
            </w:r>
          </w:p>
        </w:tc>
        <w:tc>
          <w:tcPr>
            <w:tcW w:w="64" w:type="dxa"/>
            <w:tcBorders/>
            <w:vAlign w:val="bottom"/>
          </w:tcPr>
          <w:p>
            <w:pPr>
              <w:pStyle w:val="TableContents"/>
              <w:bidi w:val="0"/>
              <w:spacing w:before="0" w:after="283"/>
              <w:jc w:val="left"/>
              <w:rPr/>
            </w:pPr>
            <w:r>
              <w:rPr/>
              <w:t> </w:t>
            </w:r>
          </w:p>
        </w:tc>
      </w:tr>
      <w:tr>
        <w:trPr/>
        <w:tc>
          <w:tcPr>
            <w:tcW w:w="59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Prepaid expenses and other current assets</w:t>
            </w:r>
          </w:p>
        </w:tc>
        <w:tc>
          <w:tcPr>
            <w:tcW w:w="329"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397" w:type="dxa"/>
            <w:tcBorders/>
            <w:shd w:fill="CCEEFF" w:val="clear"/>
            <w:vAlign w:val="bottom"/>
          </w:tcPr>
          <w:p>
            <w:pPr>
              <w:pStyle w:val="TableContents"/>
              <w:bidi w:val="0"/>
              <w:spacing w:before="0" w:after="283"/>
              <w:jc w:val="right"/>
              <w:rPr/>
            </w:pPr>
            <w:r>
              <w:rPr/>
              <w:t>45,272</w:t>
            </w:r>
          </w:p>
        </w:tc>
        <w:tc>
          <w:tcPr>
            <w:tcW w:w="60" w:type="dxa"/>
            <w:tcBorders/>
            <w:shd w:fill="CCEEFF" w:val="clear"/>
            <w:vAlign w:val="bottom"/>
          </w:tcPr>
          <w:p>
            <w:pPr>
              <w:pStyle w:val="TableContents"/>
              <w:bidi w:val="0"/>
              <w:spacing w:before="0" w:after="283"/>
              <w:jc w:val="left"/>
              <w:rPr/>
            </w:pPr>
            <w:r>
              <w:rPr/>
              <w:t> </w:t>
            </w:r>
          </w:p>
        </w:tc>
        <w:tc>
          <w:tcPr>
            <w:tcW w:w="329"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 </w:t>
            </w:r>
          </w:p>
        </w:tc>
        <w:tc>
          <w:tcPr>
            <w:tcW w:w="1687" w:type="dxa"/>
            <w:tcBorders/>
            <w:shd w:fill="CCEEFF" w:val="clear"/>
            <w:vAlign w:val="bottom"/>
          </w:tcPr>
          <w:p>
            <w:pPr>
              <w:pStyle w:val="TableContents"/>
              <w:bidi w:val="0"/>
              <w:spacing w:before="0" w:after="283"/>
              <w:jc w:val="right"/>
              <w:rPr/>
            </w:pPr>
            <w:r>
              <w:rPr/>
              <w:t>53,073</w:t>
            </w:r>
          </w:p>
        </w:tc>
        <w:tc>
          <w:tcPr>
            <w:tcW w:w="64" w:type="dxa"/>
            <w:tcBorders/>
            <w:shd w:fill="CCEEFF" w:val="clear"/>
            <w:vAlign w:val="bottom"/>
          </w:tcPr>
          <w:p>
            <w:pPr>
              <w:pStyle w:val="TableContents"/>
              <w:bidi w:val="0"/>
              <w:spacing w:before="0" w:after="283"/>
              <w:jc w:val="left"/>
              <w:rPr/>
            </w:pPr>
            <w:r>
              <w:rPr/>
              <w:t> </w:t>
            </w:r>
          </w:p>
        </w:tc>
      </w:tr>
      <w:tr>
        <w:trPr/>
        <w:tc>
          <w:tcPr>
            <w:tcW w:w="5904" w:type="dxa"/>
            <w:tcBorders/>
            <w:vAlign w:val="bottom"/>
          </w:tcPr>
          <w:p>
            <w:pPr>
              <w:pStyle w:val="TableContents"/>
              <w:bidi w:val="0"/>
              <w:spacing w:before="0" w:after="283"/>
              <w:jc w:val="left"/>
              <w:rPr>
                <w:sz w:val="4"/>
                <w:szCs w:val="4"/>
              </w:rPr>
            </w:pPr>
            <w:r>
              <w:rPr>
                <w:sz w:val="4"/>
                <w:szCs w:val="4"/>
              </w:rPr>
            </w:r>
          </w:p>
        </w:tc>
        <w:tc>
          <w:tcPr>
            <w:tcW w:w="329" w:type="dxa"/>
            <w:tcBorders/>
            <w:vAlign w:val="bottom"/>
          </w:tcPr>
          <w:p>
            <w:pPr>
              <w:pStyle w:val="TableContents"/>
              <w:bidi w:val="0"/>
              <w:spacing w:before="0" w:after="283"/>
              <w:jc w:val="left"/>
              <w:rPr/>
            </w:pPr>
            <w:r>
              <w:rPr/>
              <w:t>  </w:t>
            </w:r>
          </w:p>
        </w:tc>
        <w:tc>
          <w:tcPr>
            <w:tcW w:w="197" w:type="dxa"/>
            <w:tcBorders/>
            <w:vAlign w:val="bottom"/>
          </w:tcPr>
          <w:p>
            <w:pPr>
              <w:pStyle w:val="TableContents"/>
              <w:pBdr>
                <w:top w:val="single" w:sz="2" w:space="1" w:color="000000"/>
              </w:pBdr>
              <w:bidi w:val="0"/>
              <w:spacing w:before="0" w:after="0"/>
              <w:jc w:val="left"/>
              <w:rPr/>
            </w:pPr>
            <w:r>
              <w:rPr/>
              <w:t> </w:t>
            </w:r>
          </w:p>
        </w:tc>
        <w:tc>
          <w:tcPr>
            <w:tcW w:w="139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238" w:type="dxa"/>
            <w:tcBorders/>
            <w:vAlign w:val="bottom"/>
          </w:tcPr>
          <w:p>
            <w:pPr>
              <w:pStyle w:val="TableContents"/>
              <w:pBdr>
                <w:top w:val="single" w:sz="2" w:space="1" w:color="000000"/>
              </w:pBdr>
              <w:bidi w:val="0"/>
              <w:spacing w:before="0" w:after="0"/>
              <w:jc w:val="left"/>
              <w:rPr/>
            </w:pPr>
            <w:r>
              <w:rPr/>
              <w:t> </w:t>
            </w:r>
          </w:p>
        </w:tc>
        <w:tc>
          <w:tcPr>
            <w:tcW w:w="1687"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5904"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current assets</w:t>
            </w:r>
          </w:p>
        </w:tc>
        <w:tc>
          <w:tcPr>
            <w:tcW w:w="329"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b/>
              </w:rPr>
            </w:pPr>
            <w:r>
              <w:rPr>
                <w:b/>
              </w:rPr>
              <w:t>$</w:t>
            </w:r>
          </w:p>
        </w:tc>
        <w:tc>
          <w:tcPr>
            <w:tcW w:w="1397" w:type="dxa"/>
            <w:tcBorders/>
            <w:vAlign w:val="bottom"/>
          </w:tcPr>
          <w:p>
            <w:pPr>
              <w:pStyle w:val="TableContents"/>
              <w:bidi w:val="0"/>
              <w:spacing w:before="0" w:after="283"/>
              <w:jc w:val="right"/>
              <w:rPr>
                <w:b/>
              </w:rPr>
            </w:pPr>
            <w:r>
              <w:rPr>
                <w:b/>
              </w:rPr>
              <w:t>698,864</w:t>
            </w:r>
          </w:p>
        </w:tc>
        <w:tc>
          <w:tcPr>
            <w:tcW w:w="60" w:type="dxa"/>
            <w:tcBorders/>
            <w:vAlign w:val="bottom"/>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b/>
              </w:rPr>
            </w:pPr>
            <w:r>
              <w:rPr>
                <w:b/>
              </w:rPr>
              <w:t>$</w:t>
            </w:r>
          </w:p>
        </w:tc>
        <w:tc>
          <w:tcPr>
            <w:tcW w:w="1687" w:type="dxa"/>
            <w:tcBorders/>
            <w:vAlign w:val="bottom"/>
          </w:tcPr>
          <w:p>
            <w:pPr>
              <w:pStyle w:val="TableContents"/>
              <w:bidi w:val="0"/>
              <w:spacing w:before="0" w:after="283"/>
              <w:jc w:val="right"/>
              <w:rPr>
                <w:b/>
              </w:rPr>
            </w:pPr>
            <w:r>
              <w:rPr>
                <w:b/>
              </w:rPr>
              <w:t>718,529</w:t>
            </w:r>
          </w:p>
        </w:tc>
        <w:tc>
          <w:tcPr>
            <w:tcW w:w="64" w:type="dxa"/>
            <w:tcBorders/>
            <w:vAlign w:val="bottom"/>
          </w:tcPr>
          <w:p>
            <w:pPr>
              <w:pStyle w:val="TableContents"/>
              <w:bidi w:val="0"/>
              <w:spacing w:before="0" w:after="283"/>
              <w:jc w:val="left"/>
              <w:rPr/>
            </w:pPr>
            <w:r>
              <w:rPr/>
              <w:t> </w:t>
            </w:r>
          </w:p>
        </w:tc>
      </w:tr>
      <w:tr>
        <w:trPr/>
        <w:tc>
          <w:tcPr>
            <w:tcW w:w="5904" w:type="dxa"/>
            <w:tcBorders/>
            <w:shd w:fill="CCEEFF" w:val="clear"/>
          </w:tcPr>
          <w:p>
            <w:pPr>
              <w:pStyle w:val="TableContents"/>
              <w:bidi w:val="0"/>
              <w:spacing w:before="0" w:after="0"/>
              <w:jc w:val="left"/>
              <w:rPr>
                <w:rFonts w:ascii="Times New Roman" w:hAnsi="Times New Roman"/>
                <w:b/>
                <w:i/>
                <w:sz w:val="20"/>
              </w:rPr>
            </w:pPr>
            <w:r>
              <w:rPr>
                <w:rFonts w:ascii="Times New Roman" w:hAnsi="Times New Roman"/>
                <w:b/>
                <w:i/>
                <w:sz w:val="20"/>
              </w:rPr>
              <w:t>Restricted Cash and Investments</w:t>
            </w:r>
          </w:p>
        </w:tc>
        <w:tc>
          <w:tcPr>
            <w:tcW w:w="329"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397" w:type="dxa"/>
            <w:tcBorders/>
            <w:shd w:fill="CCEEFF" w:val="clear"/>
            <w:vAlign w:val="bottom"/>
          </w:tcPr>
          <w:p>
            <w:pPr>
              <w:pStyle w:val="TableContents"/>
              <w:bidi w:val="0"/>
              <w:spacing w:before="0" w:after="283"/>
              <w:jc w:val="right"/>
              <w:rPr/>
            </w:pPr>
            <w:r>
              <w:rPr/>
              <w:t>188,261</w:t>
            </w:r>
          </w:p>
        </w:tc>
        <w:tc>
          <w:tcPr>
            <w:tcW w:w="60" w:type="dxa"/>
            <w:tcBorders/>
            <w:shd w:fill="CCEEFF" w:val="clear"/>
            <w:vAlign w:val="bottom"/>
          </w:tcPr>
          <w:p>
            <w:pPr>
              <w:pStyle w:val="TableContents"/>
              <w:bidi w:val="0"/>
              <w:spacing w:before="0" w:after="283"/>
              <w:jc w:val="left"/>
              <w:rPr/>
            </w:pPr>
            <w:r>
              <w:rPr/>
              <w:t> </w:t>
            </w:r>
          </w:p>
        </w:tc>
        <w:tc>
          <w:tcPr>
            <w:tcW w:w="329"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 </w:t>
            </w:r>
          </w:p>
        </w:tc>
        <w:tc>
          <w:tcPr>
            <w:tcW w:w="1687" w:type="dxa"/>
            <w:tcBorders/>
            <w:shd w:fill="CCEEFF" w:val="clear"/>
            <w:vAlign w:val="bottom"/>
          </w:tcPr>
          <w:p>
            <w:pPr>
              <w:pStyle w:val="TableContents"/>
              <w:bidi w:val="0"/>
              <w:spacing w:before="0" w:after="283"/>
              <w:jc w:val="right"/>
              <w:rPr/>
            </w:pPr>
            <w:r>
              <w:rPr/>
              <w:t>179,366</w:t>
            </w:r>
          </w:p>
        </w:tc>
        <w:tc>
          <w:tcPr>
            <w:tcW w:w="64" w:type="dxa"/>
            <w:tcBorders/>
            <w:shd w:fill="CCEEFF" w:val="clear"/>
            <w:vAlign w:val="bottom"/>
          </w:tcPr>
          <w:p>
            <w:pPr>
              <w:pStyle w:val="TableContents"/>
              <w:bidi w:val="0"/>
              <w:spacing w:before="0" w:after="283"/>
              <w:jc w:val="left"/>
              <w:rPr/>
            </w:pPr>
            <w:r>
              <w:rPr/>
              <w:t> </w:t>
            </w:r>
          </w:p>
        </w:tc>
      </w:tr>
      <w:tr>
        <w:trPr/>
        <w:tc>
          <w:tcPr>
            <w:tcW w:w="5904"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Property and Equipment, Net</w:t>
            </w:r>
          </w:p>
        </w:tc>
        <w:tc>
          <w:tcPr>
            <w:tcW w:w="329"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397" w:type="dxa"/>
            <w:tcBorders/>
            <w:vAlign w:val="bottom"/>
          </w:tcPr>
          <w:p>
            <w:pPr>
              <w:pStyle w:val="TableContents"/>
              <w:bidi w:val="0"/>
              <w:spacing w:before="0" w:after="283"/>
              <w:jc w:val="right"/>
              <w:rPr/>
            </w:pPr>
            <w:r>
              <w:rPr/>
              <w:t>1,870,534</w:t>
            </w:r>
          </w:p>
        </w:tc>
        <w:tc>
          <w:tcPr>
            <w:tcW w:w="60" w:type="dxa"/>
            <w:tcBorders/>
            <w:vAlign w:val="bottom"/>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1687" w:type="dxa"/>
            <w:tcBorders/>
            <w:vAlign w:val="bottom"/>
          </w:tcPr>
          <w:p>
            <w:pPr>
              <w:pStyle w:val="TableContents"/>
              <w:bidi w:val="0"/>
              <w:spacing w:before="0" w:after="283"/>
              <w:jc w:val="right"/>
              <w:rPr/>
            </w:pPr>
            <w:r>
              <w:rPr/>
              <w:t>1,884,198</w:t>
            </w:r>
          </w:p>
        </w:tc>
        <w:tc>
          <w:tcPr>
            <w:tcW w:w="64" w:type="dxa"/>
            <w:tcBorders/>
            <w:vAlign w:val="bottom"/>
          </w:tcPr>
          <w:p>
            <w:pPr>
              <w:pStyle w:val="TableContents"/>
              <w:bidi w:val="0"/>
              <w:spacing w:before="0" w:after="283"/>
              <w:jc w:val="left"/>
              <w:rPr/>
            </w:pPr>
            <w:r>
              <w:rPr/>
              <w:t> </w:t>
            </w:r>
          </w:p>
        </w:tc>
      </w:tr>
      <w:tr>
        <w:trPr/>
        <w:tc>
          <w:tcPr>
            <w:tcW w:w="5904" w:type="dxa"/>
            <w:tcBorders/>
            <w:shd w:fill="CCEEFF" w:val="clear"/>
          </w:tcPr>
          <w:p>
            <w:pPr>
              <w:pStyle w:val="TableContents"/>
              <w:bidi w:val="0"/>
              <w:spacing w:before="0" w:after="0"/>
              <w:jc w:val="left"/>
              <w:rPr>
                <w:rFonts w:ascii="Times New Roman" w:hAnsi="Times New Roman"/>
                <w:b/>
                <w:i/>
                <w:sz w:val="20"/>
              </w:rPr>
            </w:pPr>
            <w:r>
              <w:rPr>
                <w:rFonts w:ascii="Times New Roman" w:hAnsi="Times New Roman"/>
                <w:b/>
                <w:i/>
                <w:sz w:val="20"/>
              </w:rPr>
              <w:t>Operating Lease Right-of-Use Assets, Net</w:t>
            </w:r>
          </w:p>
        </w:tc>
        <w:tc>
          <w:tcPr>
            <w:tcW w:w="329"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397" w:type="dxa"/>
            <w:tcBorders/>
            <w:shd w:fill="CCEEFF" w:val="clear"/>
            <w:vAlign w:val="bottom"/>
          </w:tcPr>
          <w:p>
            <w:pPr>
              <w:pStyle w:val="TableContents"/>
              <w:bidi w:val="0"/>
              <w:spacing w:before="0" w:after="283"/>
              <w:jc w:val="right"/>
              <w:rPr/>
            </w:pPr>
            <w:r>
              <w:rPr/>
              <w:t>67,340</w:t>
            </w:r>
          </w:p>
        </w:tc>
        <w:tc>
          <w:tcPr>
            <w:tcW w:w="60" w:type="dxa"/>
            <w:tcBorders/>
            <w:shd w:fill="CCEEFF" w:val="clear"/>
            <w:vAlign w:val="bottom"/>
          </w:tcPr>
          <w:p>
            <w:pPr>
              <w:pStyle w:val="TableContents"/>
              <w:bidi w:val="0"/>
              <w:spacing w:before="0" w:after="283"/>
              <w:jc w:val="left"/>
              <w:rPr/>
            </w:pPr>
            <w:r>
              <w:rPr/>
              <w:t> </w:t>
            </w:r>
          </w:p>
        </w:tc>
        <w:tc>
          <w:tcPr>
            <w:tcW w:w="329"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 </w:t>
            </w:r>
          </w:p>
        </w:tc>
        <w:tc>
          <w:tcPr>
            <w:tcW w:w="1687" w:type="dxa"/>
            <w:tcBorders/>
            <w:shd w:fill="CCEEFF" w:val="clear"/>
            <w:vAlign w:val="bottom"/>
          </w:tcPr>
          <w:p>
            <w:pPr>
              <w:pStyle w:val="TableContents"/>
              <w:bidi w:val="0"/>
              <w:spacing w:before="0" w:after="283"/>
              <w:jc w:val="right"/>
              <w:rPr/>
            </w:pPr>
            <w:r>
              <w:rPr/>
              <w:t>72,294</w:t>
            </w:r>
          </w:p>
        </w:tc>
        <w:tc>
          <w:tcPr>
            <w:tcW w:w="64" w:type="dxa"/>
            <w:tcBorders/>
            <w:shd w:fill="CCEEFF" w:val="clear"/>
            <w:vAlign w:val="bottom"/>
          </w:tcPr>
          <w:p>
            <w:pPr>
              <w:pStyle w:val="TableContents"/>
              <w:bidi w:val="0"/>
              <w:spacing w:before="0" w:after="283"/>
              <w:jc w:val="left"/>
              <w:rPr/>
            </w:pPr>
            <w:r>
              <w:rPr/>
              <w:t> </w:t>
            </w:r>
          </w:p>
        </w:tc>
      </w:tr>
      <w:tr>
        <w:trPr/>
        <w:tc>
          <w:tcPr>
            <w:tcW w:w="5904"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Deferred Income Tax Assets</w:t>
            </w:r>
          </w:p>
        </w:tc>
        <w:tc>
          <w:tcPr>
            <w:tcW w:w="329"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397" w:type="dxa"/>
            <w:tcBorders/>
            <w:vAlign w:val="bottom"/>
          </w:tcPr>
          <w:p>
            <w:pPr>
              <w:pStyle w:val="TableContents"/>
              <w:bidi w:val="0"/>
              <w:spacing w:before="0" w:after="283"/>
              <w:jc w:val="right"/>
              <w:rPr/>
            </w:pPr>
            <w:r>
              <w:rPr/>
              <w:t>9,396</w:t>
            </w:r>
          </w:p>
        </w:tc>
        <w:tc>
          <w:tcPr>
            <w:tcW w:w="60" w:type="dxa"/>
            <w:tcBorders/>
            <w:vAlign w:val="bottom"/>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1687" w:type="dxa"/>
            <w:tcBorders/>
            <w:vAlign w:val="bottom"/>
          </w:tcPr>
          <w:p>
            <w:pPr>
              <w:pStyle w:val="TableContents"/>
              <w:bidi w:val="0"/>
              <w:spacing w:before="0" w:after="283"/>
              <w:jc w:val="right"/>
              <w:rPr/>
            </w:pPr>
            <w:r>
              <w:rPr/>
              <w:t>9,396</w:t>
            </w:r>
          </w:p>
        </w:tc>
        <w:tc>
          <w:tcPr>
            <w:tcW w:w="64" w:type="dxa"/>
            <w:tcBorders/>
            <w:vAlign w:val="bottom"/>
          </w:tcPr>
          <w:p>
            <w:pPr>
              <w:pStyle w:val="TableContents"/>
              <w:bidi w:val="0"/>
              <w:spacing w:before="0" w:after="283"/>
              <w:jc w:val="left"/>
              <w:rPr/>
            </w:pPr>
            <w:r>
              <w:rPr/>
              <w:t> </w:t>
            </w:r>
          </w:p>
        </w:tc>
      </w:tr>
      <w:tr>
        <w:trPr/>
        <w:tc>
          <w:tcPr>
            <w:tcW w:w="5904" w:type="dxa"/>
            <w:tcBorders/>
            <w:shd w:fill="CCEEFF" w:val="clear"/>
          </w:tcPr>
          <w:p>
            <w:pPr>
              <w:pStyle w:val="TableContents"/>
              <w:bidi w:val="0"/>
              <w:spacing w:before="0" w:after="0"/>
              <w:jc w:val="left"/>
              <w:rPr>
                <w:rFonts w:ascii="Times New Roman" w:hAnsi="Times New Roman"/>
                <w:b/>
                <w:i/>
                <w:sz w:val="20"/>
              </w:rPr>
            </w:pPr>
            <w:r>
              <w:rPr>
                <w:rFonts w:ascii="Times New Roman" w:hAnsi="Times New Roman"/>
                <w:b/>
                <w:i/>
                <w:sz w:val="20"/>
              </w:rPr>
              <w:t>Intangible Assets, Net (including goodwill)</w:t>
            </w:r>
          </w:p>
        </w:tc>
        <w:tc>
          <w:tcPr>
            <w:tcW w:w="329"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397" w:type="dxa"/>
            <w:tcBorders/>
            <w:shd w:fill="CCEEFF" w:val="clear"/>
            <w:vAlign w:val="bottom"/>
          </w:tcPr>
          <w:p>
            <w:pPr>
              <w:pStyle w:val="TableContents"/>
              <w:bidi w:val="0"/>
              <w:spacing w:before="0" w:after="283"/>
              <w:jc w:val="right"/>
              <w:rPr/>
            </w:pPr>
            <w:r>
              <w:rPr/>
              <w:t>871,445</w:t>
            </w:r>
          </w:p>
        </w:tc>
        <w:tc>
          <w:tcPr>
            <w:tcW w:w="60" w:type="dxa"/>
            <w:tcBorders/>
            <w:shd w:fill="CCEEFF" w:val="clear"/>
            <w:vAlign w:val="bottom"/>
          </w:tcPr>
          <w:p>
            <w:pPr>
              <w:pStyle w:val="TableContents"/>
              <w:bidi w:val="0"/>
              <w:spacing w:before="0" w:after="283"/>
              <w:jc w:val="left"/>
              <w:rPr/>
            </w:pPr>
            <w:r>
              <w:rPr/>
              <w:t> </w:t>
            </w:r>
          </w:p>
        </w:tc>
        <w:tc>
          <w:tcPr>
            <w:tcW w:w="329"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 </w:t>
            </w:r>
          </w:p>
        </w:tc>
        <w:tc>
          <w:tcPr>
            <w:tcW w:w="1687" w:type="dxa"/>
            <w:tcBorders/>
            <w:shd w:fill="CCEEFF" w:val="clear"/>
            <w:vAlign w:val="bottom"/>
          </w:tcPr>
          <w:p>
            <w:pPr>
              <w:pStyle w:val="TableContents"/>
              <w:bidi w:val="0"/>
              <w:spacing w:before="0" w:after="283"/>
              <w:jc w:val="right"/>
              <w:rPr/>
            </w:pPr>
            <w:r>
              <w:rPr/>
              <w:t>873,360</w:t>
            </w:r>
          </w:p>
        </w:tc>
        <w:tc>
          <w:tcPr>
            <w:tcW w:w="64" w:type="dxa"/>
            <w:tcBorders/>
            <w:shd w:fill="CCEEFF" w:val="clear"/>
            <w:vAlign w:val="bottom"/>
          </w:tcPr>
          <w:p>
            <w:pPr>
              <w:pStyle w:val="TableContents"/>
              <w:bidi w:val="0"/>
              <w:spacing w:before="0" w:after="283"/>
              <w:jc w:val="left"/>
              <w:rPr/>
            </w:pPr>
            <w:r>
              <w:rPr/>
              <w:t> </w:t>
            </w:r>
          </w:p>
        </w:tc>
      </w:tr>
      <w:tr>
        <w:trPr/>
        <w:tc>
          <w:tcPr>
            <w:tcW w:w="5904"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Other Non-Current Assets</w:t>
            </w:r>
          </w:p>
        </w:tc>
        <w:tc>
          <w:tcPr>
            <w:tcW w:w="329"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397" w:type="dxa"/>
            <w:tcBorders/>
            <w:vAlign w:val="bottom"/>
          </w:tcPr>
          <w:p>
            <w:pPr>
              <w:pStyle w:val="TableContents"/>
              <w:bidi w:val="0"/>
              <w:spacing w:before="0" w:after="283"/>
              <w:jc w:val="right"/>
              <w:rPr/>
            </w:pPr>
            <w:r>
              <w:rPr/>
              <w:t>106,398</w:t>
            </w:r>
          </w:p>
        </w:tc>
        <w:tc>
          <w:tcPr>
            <w:tcW w:w="60" w:type="dxa"/>
            <w:tcBorders/>
            <w:vAlign w:val="bottom"/>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1687" w:type="dxa"/>
            <w:tcBorders/>
            <w:vAlign w:val="bottom"/>
          </w:tcPr>
          <w:p>
            <w:pPr>
              <w:pStyle w:val="TableContents"/>
              <w:bidi w:val="0"/>
              <w:spacing w:before="0" w:after="283"/>
              <w:jc w:val="right"/>
              <w:rPr/>
            </w:pPr>
            <w:r>
              <w:rPr/>
              <w:t>106,479</w:t>
            </w:r>
          </w:p>
        </w:tc>
        <w:tc>
          <w:tcPr>
            <w:tcW w:w="64" w:type="dxa"/>
            <w:tcBorders/>
            <w:vAlign w:val="bottom"/>
          </w:tcPr>
          <w:p>
            <w:pPr>
              <w:pStyle w:val="TableContents"/>
              <w:bidi w:val="0"/>
              <w:spacing w:before="0" w:after="283"/>
              <w:jc w:val="left"/>
              <w:rPr/>
            </w:pPr>
            <w:r>
              <w:rPr/>
              <w:t> </w:t>
            </w:r>
          </w:p>
        </w:tc>
      </w:tr>
      <w:tr>
        <w:trPr/>
        <w:tc>
          <w:tcPr>
            <w:tcW w:w="5904" w:type="dxa"/>
            <w:tcBorders/>
            <w:vAlign w:val="bottom"/>
          </w:tcPr>
          <w:p>
            <w:pPr>
              <w:pStyle w:val="TableContents"/>
              <w:bidi w:val="0"/>
              <w:spacing w:before="0" w:after="283"/>
              <w:jc w:val="left"/>
              <w:rPr>
                <w:sz w:val="4"/>
                <w:szCs w:val="4"/>
              </w:rPr>
            </w:pPr>
            <w:r>
              <w:rPr>
                <w:sz w:val="4"/>
                <w:szCs w:val="4"/>
              </w:rPr>
            </w:r>
          </w:p>
        </w:tc>
        <w:tc>
          <w:tcPr>
            <w:tcW w:w="329" w:type="dxa"/>
            <w:tcBorders/>
            <w:vAlign w:val="bottom"/>
          </w:tcPr>
          <w:p>
            <w:pPr>
              <w:pStyle w:val="TableContents"/>
              <w:bidi w:val="0"/>
              <w:spacing w:before="0" w:after="283"/>
              <w:jc w:val="left"/>
              <w:rPr/>
            </w:pPr>
            <w:r>
              <w:rPr/>
              <w:t>  </w:t>
            </w:r>
          </w:p>
        </w:tc>
        <w:tc>
          <w:tcPr>
            <w:tcW w:w="197" w:type="dxa"/>
            <w:tcBorders/>
            <w:vAlign w:val="bottom"/>
          </w:tcPr>
          <w:p>
            <w:pPr>
              <w:pStyle w:val="TableContents"/>
              <w:pBdr>
                <w:top w:val="single" w:sz="2" w:space="1" w:color="000000"/>
              </w:pBdr>
              <w:bidi w:val="0"/>
              <w:spacing w:before="0" w:after="0"/>
              <w:jc w:val="left"/>
              <w:rPr/>
            </w:pPr>
            <w:r>
              <w:rPr/>
              <w:t> </w:t>
            </w:r>
          </w:p>
        </w:tc>
        <w:tc>
          <w:tcPr>
            <w:tcW w:w="139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238" w:type="dxa"/>
            <w:tcBorders/>
            <w:vAlign w:val="bottom"/>
          </w:tcPr>
          <w:p>
            <w:pPr>
              <w:pStyle w:val="TableContents"/>
              <w:pBdr>
                <w:top w:val="single" w:sz="2" w:space="1" w:color="000000"/>
              </w:pBdr>
              <w:bidi w:val="0"/>
              <w:spacing w:before="0" w:after="0"/>
              <w:jc w:val="left"/>
              <w:rPr/>
            </w:pPr>
            <w:r>
              <w:rPr/>
              <w:t> </w:t>
            </w:r>
          </w:p>
        </w:tc>
        <w:tc>
          <w:tcPr>
            <w:tcW w:w="1687"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5904" w:type="dxa"/>
            <w:tcBorders/>
            <w:shd w:fill="CCEEFF" w:val="clear"/>
          </w:tcPr>
          <w:p>
            <w:pPr>
              <w:pStyle w:val="TableContents"/>
              <w:bidi w:val="0"/>
              <w:spacing w:before="0" w:after="0"/>
              <w:jc w:val="center"/>
              <w:rPr>
                <w:rFonts w:ascii="Times New Roman" w:hAnsi="Times New Roman"/>
                <w:b/>
                <w:sz w:val="20"/>
              </w:rPr>
            </w:pPr>
            <w:r>
              <w:rPr>
                <w:rFonts w:ascii="Times New Roman" w:hAnsi="Times New Roman"/>
                <w:b/>
                <w:sz w:val="20"/>
              </w:rPr>
              <w:t>Total Assets</w:t>
            </w:r>
          </w:p>
        </w:tc>
        <w:tc>
          <w:tcPr>
            <w:tcW w:w="329"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b/>
              </w:rPr>
            </w:pPr>
            <w:r>
              <w:rPr>
                <w:b/>
              </w:rPr>
              <w:t>$</w:t>
            </w:r>
          </w:p>
        </w:tc>
        <w:tc>
          <w:tcPr>
            <w:tcW w:w="1397" w:type="dxa"/>
            <w:tcBorders/>
            <w:shd w:fill="CCEEFF" w:val="clear"/>
            <w:vAlign w:val="bottom"/>
          </w:tcPr>
          <w:p>
            <w:pPr>
              <w:pStyle w:val="TableContents"/>
              <w:bidi w:val="0"/>
              <w:spacing w:before="0" w:after="283"/>
              <w:jc w:val="right"/>
              <w:rPr>
                <w:b/>
              </w:rPr>
            </w:pPr>
            <w:r>
              <w:rPr>
                <w:b/>
              </w:rPr>
              <w:t>3,812,238</w:t>
            </w:r>
          </w:p>
        </w:tc>
        <w:tc>
          <w:tcPr>
            <w:tcW w:w="60" w:type="dxa"/>
            <w:tcBorders/>
            <w:shd w:fill="CCEEFF" w:val="clear"/>
            <w:vAlign w:val="bottom"/>
          </w:tcPr>
          <w:p>
            <w:pPr>
              <w:pStyle w:val="TableContents"/>
              <w:bidi w:val="0"/>
              <w:spacing w:before="0" w:after="283"/>
              <w:jc w:val="left"/>
              <w:rPr/>
            </w:pPr>
            <w:r>
              <w:rPr/>
              <w:t> </w:t>
            </w:r>
          </w:p>
        </w:tc>
        <w:tc>
          <w:tcPr>
            <w:tcW w:w="329"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b/>
              </w:rPr>
            </w:pPr>
            <w:r>
              <w:rPr>
                <w:b/>
              </w:rPr>
              <w:t>$</w:t>
            </w:r>
          </w:p>
        </w:tc>
        <w:tc>
          <w:tcPr>
            <w:tcW w:w="1687" w:type="dxa"/>
            <w:tcBorders/>
            <w:shd w:fill="CCEEFF" w:val="clear"/>
            <w:vAlign w:val="bottom"/>
          </w:tcPr>
          <w:p>
            <w:pPr>
              <w:pStyle w:val="TableContents"/>
              <w:bidi w:val="0"/>
              <w:spacing w:before="0" w:after="283"/>
              <w:jc w:val="right"/>
              <w:rPr>
                <w:b/>
              </w:rPr>
            </w:pPr>
            <w:r>
              <w:rPr>
                <w:b/>
              </w:rPr>
              <w:t>3,843,622</w:t>
            </w:r>
          </w:p>
        </w:tc>
        <w:tc>
          <w:tcPr>
            <w:tcW w:w="64" w:type="dxa"/>
            <w:tcBorders/>
            <w:shd w:fill="CCEEFF" w:val="clear"/>
            <w:vAlign w:val="bottom"/>
          </w:tcPr>
          <w:p>
            <w:pPr>
              <w:pStyle w:val="TableContents"/>
              <w:bidi w:val="0"/>
              <w:spacing w:before="0" w:after="283"/>
              <w:jc w:val="left"/>
              <w:rPr/>
            </w:pPr>
            <w:r>
              <w:rPr/>
              <w:t> </w:t>
            </w:r>
          </w:p>
        </w:tc>
      </w:tr>
      <w:tr>
        <w:trPr/>
        <w:tc>
          <w:tcPr>
            <w:tcW w:w="5904" w:type="dxa"/>
            <w:tcBorders/>
            <w:vAlign w:val="bottom"/>
          </w:tcPr>
          <w:p>
            <w:pPr>
              <w:pStyle w:val="TableContents"/>
              <w:bidi w:val="0"/>
              <w:spacing w:before="0" w:after="283"/>
              <w:jc w:val="left"/>
              <w:rPr>
                <w:sz w:val="4"/>
                <w:szCs w:val="4"/>
              </w:rPr>
            </w:pPr>
            <w:r>
              <w:rPr>
                <w:sz w:val="4"/>
                <w:szCs w:val="4"/>
              </w:rPr>
            </w:r>
          </w:p>
        </w:tc>
        <w:tc>
          <w:tcPr>
            <w:tcW w:w="329" w:type="dxa"/>
            <w:tcBorders/>
            <w:vAlign w:val="bottom"/>
          </w:tcPr>
          <w:p>
            <w:pPr>
              <w:pStyle w:val="TableContents"/>
              <w:bidi w:val="0"/>
              <w:spacing w:before="0" w:after="283"/>
              <w:jc w:val="left"/>
              <w:rPr/>
            </w:pPr>
            <w:r>
              <w:rPr/>
              <w:t>  </w:t>
            </w:r>
          </w:p>
        </w:tc>
        <w:tc>
          <w:tcPr>
            <w:tcW w:w="197" w:type="dxa"/>
            <w:tcBorders/>
            <w:vAlign w:val="bottom"/>
          </w:tcPr>
          <w:p>
            <w:pPr>
              <w:pStyle w:val="TableContents"/>
              <w:pBdr>
                <w:top w:val="double" w:sz="6" w:space="1" w:color="000000"/>
              </w:pBdr>
              <w:bidi w:val="0"/>
              <w:spacing w:before="0" w:after="0"/>
              <w:jc w:val="left"/>
              <w:rPr/>
            </w:pPr>
            <w:r>
              <w:rPr/>
              <w:t> </w:t>
            </w:r>
          </w:p>
        </w:tc>
        <w:tc>
          <w:tcPr>
            <w:tcW w:w="139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238" w:type="dxa"/>
            <w:tcBorders/>
            <w:vAlign w:val="bottom"/>
          </w:tcPr>
          <w:p>
            <w:pPr>
              <w:pStyle w:val="TableContents"/>
              <w:pBdr>
                <w:top w:val="double" w:sz="6" w:space="1" w:color="000000"/>
              </w:pBdr>
              <w:bidi w:val="0"/>
              <w:spacing w:before="0" w:after="0"/>
              <w:jc w:val="left"/>
              <w:rPr/>
            </w:pPr>
            <w:r>
              <w:rPr/>
              <w:t> </w:t>
            </w:r>
          </w:p>
        </w:tc>
        <w:tc>
          <w:tcPr>
            <w:tcW w:w="1687"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5904" w:type="dxa"/>
            <w:tcBorders/>
          </w:tcPr>
          <w:p>
            <w:pPr>
              <w:pStyle w:val="TableContents"/>
              <w:bidi w:val="0"/>
              <w:spacing w:before="0" w:after="0"/>
              <w:jc w:val="center"/>
              <w:rPr>
                <w:rFonts w:ascii="Times New Roman" w:hAnsi="Times New Roman"/>
                <w:b/>
                <w:sz w:val="20"/>
              </w:rPr>
            </w:pPr>
            <w:r>
              <w:rPr>
                <w:rFonts w:ascii="Times New Roman" w:hAnsi="Times New Roman"/>
                <w:b/>
                <w:sz w:val="20"/>
              </w:rPr>
              <w:t>LIABILITIES AND SHAREHOLDERS’ EQUITY</w:t>
            </w:r>
          </w:p>
        </w:tc>
        <w:tc>
          <w:tcPr>
            <w:tcW w:w="329"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sz w:val="4"/>
                <w:szCs w:val="4"/>
              </w:rPr>
            </w:pPr>
            <w:r>
              <w:rPr>
                <w:sz w:val="4"/>
                <w:szCs w:val="4"/>
              </w:rPr>
            </w:r>
          </w:p>
        </w:tc>
        <w:tc>
          <w:tcPr>
            <w:tcW w:w="139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9"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sz w:val="4"/>
                <w:szCs w:val="4"/>
              </w:rPr>
            </w:pPr>
            <w:r>
              <w:rPr>
                <w:sz w:val="4"/>
                <w:szCs w:val="4"/>
              </w:rPr>
            </w:r>
          </w:p>
        </w:tc>
        <w:tc>
          <w:tcPr>
            <w:tcW w:w="1687"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59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329"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w:t>
            </w:r>
          </w:p>
        </w:tc>
        <w:tc>
          <w:tcPr>
            <w:tcW w:w="1397" w:type="dxa"/>
            <w:tcBorders/>
            <w:shd w:fill="CCEEFF" w:val="clear"/>
            <w:vAlign w:val="bottom"/>
          </w:tcPr>
          <w:p>
            <w:pPr>
              <w:pStyle w:val="TableContents"/>
              <w:bidi w:val="0"/>
              <w:spacing w:before="0" w:after="283"/>
              <w:jc w:val="right"/>
              <w:rPr/>
            </w:pPr>
            <w:r>
              <w:rPr/>
              <w:t>59,075</w:t>
            </w:r>
          </w:p>
        </w:tc>
        <w:tc>
          <w:tcPr>
            <w:tcW w:w="60" w:type="dxa"/>
            <w:tcBorders/>
            <w:shd w:fill="CCEEFF" w:val="clear"/>
            <w:vAlign w:val="bottom"/>
          </w:tcPr>
          <w:p>
            <w:pPr>
              <w:pStyle w:val="TableContents"/>
              <w:bidi w:val="0"/>
              <w:spacing w:before="0" w:after="283"/>
              <w:jc w:val="left"/>
              <w:rPr/>
            </w:pPr>
            <w:r>
              <w:rPr/>
              <w:t> </w:t>
            </w:r>
          </w:p>
        </w:tc>
        <w:tc>
          <w:tcPr>
            <w:tcW w:w="329"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w:t>
            </w:r>
          </w:p>
        </w:tc>
        <w:tc>
          <w:tcPr>
            <w:tcW w:w="1687" w:type="dxa"/>
            <w:tcBorders/>
            <w:shd w:fill="CCEEFF" w:val="clear"/>
            <w:vAlign w:val="bottom"/>
          </w:tcPr>
          <w:p>
            <w:pPr>
              <w:pStyle w:val="TableContents"/>
              <w:bidi w:val="0"/>
              <w:spacing w:before="0" w:after="283"/>
              <w:jc w:val="right"/>
              <w:rPr/>
            </w:pPr>
            <w:r>
              <w:rPr/>
              <w:t>58,727</w:t>
            </w:r>
          </w:p>
        </w:tc>
        <w:tc>
          <w:tcPr>
            <w:tcW w:w="64" w:type="dxa"/>
            <w:tcBorders/>
            <w:shd w:fill="CCEEFF" w:val="clear"/>
            <w:vAlign w:val="bottom"/>
          </w:tcPr>
          <w:p>
            <w:pPr>
              <w:pStyle w:val="TableContents"/>
              <w:bidi w:val="0"/>
              <w:spacing w:before="0" w:after="283"/>
              <w:jc w:val="left"/>
              <w:rPr/>
            </w:pPr>
            <w:r>
              <w:rPr/>
              <w:t> </w:t>
            </w:r>
          </w:p>
        </w:tc>
      </w:tr>
      <w:tr>
        <w:trPr/>
        <w:tc>
          <w:tcPr>
            <w:tcW w:w="5904" w:type="dxa"/>
            <w:tcBorders/>
          </w:tcPr>
          <w:p>
            <w:pPr>
              <w:pStyle w:val="TableContents"/>
              <w:bidi w:val="0"/>
              <w:spacing w:before="0" w:after="0"/>
              <w:jc w:val="left"/>
              <w:rPr>
                <w:rFonts w:ascii="Times New Roman" w:hAnsi="Times New Roman"/>
                <w:sz w:val="20"/>
              </w:rPr>
            </w:pPr>
            <w:r>
              <w:rPr>
                <w:rFonts w:ascii="Times New Roman" w:hAnsi="Times New Roman"/>
                <w:sz w:val="20"/>
              </w:rPr>
              <w:t>Accrued payroll and related taxes</w:t>
            </w:r>
          </w:p>
        </w:tc>
        <w:tc>
          <w:tcPr>
            <w:tcW w:w="329"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397" w:type="dxa"/>
            <w:tcBorders/>
            <w:vAlign w:val="bottom"/>
          </w:tcPr>
          <w:p>
            <w:pPr>
              <w:pStyle w:val="TableContents"/>
              <w:bidi w:val="0"/>
              <w:spacing w:before="0" w:after="283"/>
              <w:jc w:val="right"/>
              <w:rPr/>
            </w:pPr>
            <w:r>
              <w:rPr/>
              <w:t>107,610</w:t>
            </w:r>
          </w:p>
        </w:tc>
        <w:tc>
          <w:tcPr>
            <w:tcW w:w="60" w:type="dxa"/>
            <w:tcBorders/>
            <w:vAlign w:val="bottom"/>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1687" w:type="dxa"/>
            <w:tcBorders/>
            <w:vAlign w:val="bottom"/>
          </w:tcPr>
          <w:p>
            <w:pPr>
              <w:pStyle w:val="TableContents"/>
              <w:bidi w:val="0"/>
              <w:spacing w:before="0" w:after="283"/>
              <w:jc w:val="right"/>
              <w:rPr/>
            </w:pPr>
            <w:r>
              <w:rPr/>
              <w:t>82,086</w:t>
            </w:r>
          </w:p>
        </w:tc>
        <w:tc>
          <w:tcPr>
            <w:tcW w:w="64" w:type="dxa"/>
            <w:tcBorders/>
            <w:vAlign w:val="bottom"/>
          </w:tcPr>
          <w:p>
            <w:pPr>
              <w:pStyle w:val="TableContents"/>
              <w:bidi w:val="0"/>
              <w:spacing w:before="0" w:after="283"/>
              <w:jc w:val="left"/>
              <w:rPr/>
            </w:pPr>
            <w:r>
              <w:rPr/>
              <w:t> </w:t>
            </w:r>
          </w:p>
        </w:tc>
      </w:tr>
      <w:tr>
        <w:trPr/>
        <w:tc>
          <w:tcPr>
            <w:tcW w:w="59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expenses and other current liabilities</w:t>
            </w:r>
          </w:p>
        </w:tc>
        <w:tc>
          <w:tcPr>
            <w:tcW w:w="329"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397" w:type="dxa"/>
            <w:tcBorders/>
            <w:shd w:fill="CCEEFF" w:val="clear"/>
            <w:vAlign w:val="bottom"/>
          </w:tcPr>
          <w:p>
            <w:pPr>
              <w:pStyle w:val="TableContents"/>
              <w:bidi w:val="0"/>
              <w:spacing w:before="0" w:after="283"/>
              <w:jc w:val="right"/>
              <w:rPr/>
            </w:pPr>
            <w:r>
              <w:rPr/>
              <w:t>214,208</w:t>
            </w:r>
          </w:p>
        </w:tc>
        <w:tc>
          <w:tcPr>
            <w:tcW w:w="60" w:type="dxa"/>
            <w:tcBorders/>
            <w:shd w:fill="CCEEFF" w:val="clear"/>
            <w:vAlign w:val="bottom"/>
          </w:tcPr>
          <w:p>
            <w:pPr>
              <w:pStyle w:val="TableContents"/>
              <w:bidi w:val="0"/>
              <w:spacing w:before="0" w:after="283"/>
              <w:jc w:val="left"/>
              <w:rPr/>
            </w:pPr>
            <w:r>
              <w:rPr/>
              <w:t> </w:t>
            </w:r>
          </w:p>
        </w:tc>
        <w:tc>
          <w:tcPr>
            <w:tcW w:w="329"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 </w:t>
            </w:r>
          </w:p>
        </w:tc>
        <w:tc>
          <w:tcPr>
            <w:tcW w:w="1687" w:type="dxa"/>
            <w:tcBorders/>
            <w:shd w:fill="CCEEFF" w:val="clear"/>
            <w:vAlign w:val="bottom"/>
          </w:tcPr>
          <w:p>
            <w:pPr>
              <w:pStyle w:val="TableContents"/>
              <w:bidi w:val="0"/>
              <w:spacing w:before="0" w:after="283"/>
              <w:jc w:val="right"/>
              <w:rPr/>
            </w:pPr>
            <w:r>
              <w:rPr/>
              <w:t>197,530</w:t>
            </w:r>
          </w:p>
        </w:tc>
        <w:tc>
          <w:tcPr>
            <w:tcW w:w="64" w:type="dxa"/>
            <w:tcBorders/>
            <w:shd w:fill="CCEEFF" w:val="clear"/>
            <w:vAlign w:val="bottom"/>
          </w:tcPr>
          <w:p>
            <w:pPr>
              <w:pStyle w:val="TableContents"/>
              <w:bidi w:val="0"/>
              <w:spacing w:before="0" w:after="283"/>
              <w:jc w:val="left"/>
              <w:rPr/>
            </w:pPr>
            <w:r>
              <w:rPr/>
              <w:t> </w:t>
            </w:r>
          </w:p>
        </w:tc>
      </w:tr>
      <w:tr>
        <w:trPr/>
        <w:tc>
          <w:tcPr>
            <w:tcW w:w="5904"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 liabilities, current portion</w:t>
            </w:r>
          </w:p>
        </w:tc>
        <w:tc>
          <w:tcPr>
            <w:tcW w:w="329"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397" w:type="dxa"/>
            <w:tcBorders/>
            <w:vAlign w:val="bottom"/>
          </w:tcPr>
          <w:p>
            <w:pPr>
              <w:pStyle w:val="TableContents"/>
              <w:bidi w:val="0"/>
              <w:spacing w:before="0" w:after="283"/>
              <w:jc w:val="right"/>
              <w:rPr/>
            </w:pPr>
            <w:r>
              <w:rPr/>
              <w:t>16,107</w:t>
            </w:r>
          </w:p>
        </w:tc>
        <w:tc>
          <w:tcPr>
            <w:tcW w:w="60" w:type="dxa"/>
            <w:tcBorders/>
            <w:vAlign w:val="bottom"/>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1687" w:type="dxa"/>
            <w:tcBorders/>
            <w:vAlign w:val="bottom"/>
          </w:tcPr>
          <w:p>
            <w:pPr>
              <w:pStyle w:val="TableContents"/>
              <w:bidi w:val="0"/>
              <w:spacing w:before="0" w:after="283"/>
              <w:jc w:val="right"/>
              <w:rPr/>
            </w:pPr>
            <w:r>
              <w:rPr/>
              <w:t>17,193</w:t>
            </w:r>
          </w:p>
        </w:tc>
        <w:tc>
          <w:tcPr>
            <w:tcW w:w="64" w:type="dxa"/>
            <w:tcBorders/>
            <w:vAlign w:val="bottom"/>
          </w:tcPr>
          <w:p>
            <w:pPr>
              <w:pStyle w:val="TableContents"/>
              <w:bidi w:val="0"/>
              <w:spacing w:before="0" w:after="283"/>
              <w:jc w:val="left"/>
              <w:rPr/>
            </w:pPr>
            <w:r>
              <w:rPr/>
              <w:t> </w:t>
            </w:r>
          </w:p>
        </w:tc>
      </w:tr>
      <w:tr>
        <w:trPr/>
        <w:tc>
          <w:tcPr>
            <w:tcW w:w="59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portion of finance lease obligations, and long-term debt</w:t>
            </w:r>
          </w:p>
        </w:tc>
        <w:tc>
          <w:tcPr>
            <w:tcW w:w="329"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397" w:type="dxa"/>
            <w:tcBorders/>
            <w:shd w:fill="CCEEFF" w:val="clear"/>
            <w:vAlign w:val="bottom"/>
          </w:tcPr>
          <w:p>
            <w:pPr>
              <w:pStyle w:val="TableContents"/>
              <w:bidi w:val="0"/>
              <w:spacing w:before="0" w:after="283"/>
              <w:jc w:val="right"/>
              <w:rPr/>
            </w:pPr>
            <w:r>
              <w:rPr/>
              <w:t>1,344</w:t>
            </w:r>
          </w:p>
        </w:tc>
        <w:tc>
          <w:tcPr>
            <w:tcW w:w="60" w:type="dxa"/>
            <w:tcBorders/>
            <w:shd w:fill="CCEEFF" w:val="clear"/>
            <w:vAlign w:val="bottom"/>
          </w:tcPr>
          <w:p>
            <w:pPr>
              <w:pStyle w:val="TableContents"/>
              <w:bidi w:val="0"/>
              <w:spacing w:before="0" w:after="283"/>
              <w:jc w:val="left"/>
              <w:rPr/>
            </w:pPr>
            <w:r>
              <w:rPr/>
              <w:t> </w:t>
            </w:r>
          </w:p>
        </w:tc>
        <w:tc>
          <w:tcPr>
            <w:tcW w:w="329"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 </w:t>
            </w:r>
          </w:p>
        </w:tc>
        <w:tc>
          <w:tcPr>
            <w:tcW w:w="1687" w:type="dxa"/>
            <w:tcBorders/>
            <w:shd w:fill="CCEEFF" w:val="clear"/>
            <w:vAlign w:val="bottom"/>
          </w:tcPr>
          <w:p>
            <w:pPr>
              <w:pStyle w:val="TableContents"/>
              <w:bidi w:val="0"/>
              <w:spacing w:before="0" w:after="283"/>
              <w:jc w:val="right"/>
              <w:rPr/>
            </w:pPr>
            <w:r>
              <w:rPr/>
              <w:t>1,355</w:t>
            </w:r>
          </w:p>
        </w:tc>
        <w:tc>
          <w:tcPr>
            <w:tcW w:w="64" w:type="dxa"/>
            <w:tcBorders/>
            <w:shd w:fill="CCEEFF" w:val="clear"/>
            <w:vAlign w:val="bottom"/>
          </w:tcPr>
          <w:p>
            <w:pPr>
              <w:pStyle w:val="TableContents"/>
              <w:bidi w:val="0"/>
              <w:spacing w:before="0" w:after="283"/>
              <w:jc w:val="left"/>
              <w:rPr/>
            </w:pPr>
            <w:r>
              <w:rPr/>
              <w:t> </w:t>
            </w:r>
          </w:p>
        </w:tc>
      </w:tr>
      <w:tr>
        <w:trPr/>
        <w:tc>
          <w:tcPr>
            <w:tcW w:w="5904" w:type="dxa"/>
            <w:tcBorders/>
            <w:vAlign w:val="bottom"/>
          </w:tcPr>
          <w:p>
            <w:pPr>
              <w:pStyle w:val="TableContents"/>
              <w:bidi w:val="0"/>
              <w:spacing w:before="0" w:after="283"/>
              <w:jc w:val="left"/>
              <w:rPr>
                <w:sz w:val="4"/>
                <w:szCs w:val="4"/>
              </w:rPr>
            </w:pPr>
            <w:r>
              <w:rPr>
                <w:sz w:val="4"/>
                <w:szCs w:val="4"/>
              </w:rPr>
            </w:r>
          </w:p>
        </w:tc>
        <w:tc>
          <w:tcPr>
            <w:tcW w:w="329" w:type="dxa"/>
            <w:tcBorders/>
            <w:vAlign w:val="bottom"/>
          </w:tcPr>
          <w:p>
            <w:pPr>
              <w:pStyle w:val="TableContents"/>
              <w:bidi w:val="0"/>
              <w:spacing w:before="0" w:after="283"/>
              <w:jc w:val="left"/>
              <w:rPr/>
            </w:pPr>
            <w:r>
              <w:rPr/>
              <w:t>  </w:t>
            </w:r>
          </w:p>
        </w:tc>
        <w:tc>
          <w:tcPr>
            <w:tcW w:w="197" w:type="dxa"/>
            <w:tcBorders/>
            <w:vAlign w:val="bottom"/>
          </w:tcPr>
          <w:p>
            <w:pPr>
              <w:pStyle w:val="TableContents"/>
              <w:pBdr>
                <w:top w:val="single" w:sz="2" w:space="1" w:color="000000"/>
              </w:pBdr>
              <w:bidi w:val="0"/>
              <w:spacing w:before="0" w:after="0"/>
              <w:jc w:val="left"/>
              <w:rPr/>
            </w:pPr>
            <w:r>
              <w:rPr/>
              <w:t> </w:t>
            </w:r>
          </w:p>
        </w:tc>
        <w:tc>
          <w:tcPr>
            <w:tcW w:w="139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238" w:type="dxa"/>
            <w:tcBorders/>
            <w:vAlign w:val="bottom"/>
          </w:tcPr>
          <w:p>
            <w:pPr>
              <w:pStyle w:val="TableContents"/>
              <w:pBdr>
                <w:top w:val="single" w:sz="2" w:space="1" w:color="000000"/>
              </w:pBdr>
              <w:bidi w:val="0"/>
              <w:spacing w:before="0" w:after="0"/>
              <w:jc w:val="left"/>
              <w:rPr/>
            </w:pPr>
            <w:r>
              <w:rPr/>
              <w:t> </w:t>
            </w:r>
          </w:p>
        </w:tc>
        <w:tc>
          <w:tcPr>
            <w:tcW w:w="1687"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5904"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current liabilities</w:t>
            </w:r>
          </w:p>
        </w:tc>
        <w:tc>
          <w:tcPr>
            <w:tcW w:w="329"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b/>
              </w:rPr>
            </w:pPr>
            <w:r>
              <w:rPr>
                <w:b/>
              </w:rPr>
              <w:t>$</w:t>
            </w:r>
          </w:p>
        </w:tc>
        <w:tc>
          <w:tcPr>
            <w:tcW w:w="1397" w:type="dxa"/>
            <w:tcBorders/>
            <w:vAlign w:val="bottom"/>
          </w:tcPr>
          <w:p>
            <w:pPr>
              <w:pStyle w:val="TableContents"/>
              <w:bidi w:val="0"/>
              <w:spacing w:before="0" w:after="283"/>
              <w:jc w:val="right"/>
              <w:rPr>
                <w:b/>
              </w:rPr>
            </w:pPr>
            <w:r>
              <w:rPr>
                <w:b/>
              </w:rPr>
              <w:t>398,344</w:t>
            </w:r>
          </w:p>
        </w:tc>
        <w:tc>
          <w:tcPr>
            <w:tcW w:w="60" w:type="dxa"/>
            <w:tcBorders/>
            <w:vAlign w:val="bottom"/>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b/>
              </w:rPr>
            </w:pPr>
            <w:r>
              <w:rPr>
                <w:b/>
              </w:rPr>
              <w:t>$</w:t>
            </w:r>
          </w:p>
        </w:tc>
        <w:tc>
          <w:tcPr>
            <w:tcW w:w="1687" w:type="dxa"/>
            <w:tcBorders/>
            <w:vAlign w:val="bottom"/>
          </w:tcPr>
          <w:p>
            <w:pPr>
              <w:pStyle w:val="TableContents"/>
              <w:bidi w:val="0"/>
              <w:spacing w:before="0" w:after="283"/>
              <w:jc w:val="right"/>
              <w:rPr>
                <w:b/>
              </w:rPr>
            </w:pPr>
            <w:r>
              <w:rPr>
                <w:b/>
              </w:rPr>
              <w:t>356,891</w:t>
            </w:r>
          </w:p>
        </w:tc>
        <w:tc>
          <w:tcPr>
            <w:tcW w:w="64" w:type="dxa"/>
            <w:tcBorders/>
            <w:vAlign w:val="bottom"/>
          </w:tcPr>
          <w:p>
            <w:pPr>
              <w:pStyle w:val="TableContents"/>
              <w:bidi w:val="0"/>
              <w:spacing w:before="0" w:after="283"/>
              <w:jc w:val="left"/>
              <w:rPr/>
            </w:pPr>
            <w:r>
              <w:rPr/>
              <w:t> </w:t>
            </w:r>
          </w:p>
        </w:tc>
      </w:tr>
      <w:tr>
        <w:trPr/>
        <w:tc>
          <w:tcPr>
            <w:tcW w:w="5904" w:type="dxa"/>
            <w:tcBorders/>
            <w:shd w:fill="CCEEFF" w:val="clear"/>
          </w:tcPr>
          <w:p>
            <w:pPr>
              <w:pStyle w:val="TableContents"/>
              <w:bidi w:val="0"/>
              <w:spacing w:before="0" w:after="0"/>
              <w:jc w:val="left"/>
              <w:rPr>
                <w:rFonts w:ascii="Times New Roman" w:hAnsi="Times New Roman"/>
                <w:b/>
                <w:i/>
                <w:sz w:val="20"/>
              </w:rPr>
            </w:pPr>
            <w:r>
              <w:rPr>
                <w:rFonts w:ascii="Times New Roman" w:hAnsi="Times New Roman"/>
                <w:b/>
                <w:i/>
                <w:sz w:val="20"/>
              </w:rPr>
              <w:t>Deferred Income Tax Liabilities</w:t>
            </w:r>
          </w:p>
        </w:tc>
        <w:tc>
          <w:tcPr>
            <w:tcW w:w="329"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397" w:type="dxa"/>
            <w:tcBorders/>
            <w:shd w:fill="CCEEFF" w:val="clear"/>
            <w:vAlign w:val="bottom"/>
          </w:tcPr>
          <w:p>
            <w:pPr>
              <w:pStyle w:val="TableContents"/>
              <w:bidi w:val="0"/>
              <w:spacing w:before="0" w:after="283"/>
              <w:jc w:val="right"/>
              <w:rPr/>
            </w:pPr>
            <w:r>
              <w:rPr/>
              <w:t>99,689</w:t>
            </w:r>
          </w:p>
        </w:tc>
        <w:tc>
          <w:tcPr>
            <w:tcW w:w="60" w:type="dxa"/>
            <w:tcBorders/>
            <w:shd w:fill="CCEEFF" w:val="clear"/>
            <w:vAlign w:val="bottom"/>
          </w:tcPr>
          <w:p>
            <w:pPr>
              <w:pStyle w:val="TableContents"/>
              <w:bidi w:val="0"/>
              <w:spacing w:before="0" w:after="283"/>
              <w:jc w:val="left"/>
              <w:rPr/>
            </w:pPr>
            <w:r>
              <w:rPr/>
              <w:t> </w:t>
            </w:r>
          </w:p>
        </w:tc>
        <w:tc>
          <w:tcPr>
            <w:tcW w:w="329"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 </w:t>
            </w:r>
          </w:p>
        </w:tc>
        <w:tc>
          <w:tcPr>
            <w:tcW w:w="1687" w:type="dxa"/>
            <w:tcBorders/>
            <w:shd w:fill="CCEEFF" w:val="clear"/>
            <w:vAlign w:val="bottom"/>
          </w:tcPr>
          <w:p>
            <w:pPr>
              <w:pStyle w:val="TableContents"/>
              <w:bidi w:val="0"/>
              <w:spacing w:before="0" w:after="283"/>
              <w:jc w:val="right"/>
              <w:rPr/>
            </w:pPr>
            <w:r>
              <w:rPr/>
              <w:t>99,689</w:t>
            </w:r>
          </w:p>
        </w:tc>
        <w:tc>
          <w:tcPr>
            <w:tcW w:w="64" w:type="dxa"/>
            <w:tcBorders/>
            <w:shd w:fill="CCEEFF" w:val="clear"/>
            <w:vAlign w:val="bottom"/>
          </w:tcPr>
          <w:p>
            <w:pPr>
              <w:pStyle w:val="TableContents"/>
              <w:bidi w:val="0"/>
              <w:spacing w:before="0" w:after="283"/>
              <w:jc w:val="left"/>
              <w:rPr/>
            </w:pPr>
            <w:r>
              <w:rPr/>
              <w:t> </w:t>
            </w:r>
          </w:p>
        </w:tc>
      </w:tr>
      <w:tr>
        <w:trPr/>
        <w:tc>
          <w:tcPr>
            <w:tcW w:w="5904"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Other Non-Current Liabilities</w:t>
            </w:r>
          </w:p>
        </w:tc>
        <w:tc>
          <w:tcPr>
            <w:tcW w:w="329"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397" w:type="dxa"/>
            <w:tcBorders/>
            <w:vAlign w:val="bottom"/>
          </w:tcPr>
          <w:p>
            <w:pPr>
              <w:pStyle w:val="TableContents"/>
              <w:bidi w:val="0"/>
              <w:spacing w:before="0" w:after="283"/>
              <w:jc w:val="right"/>
              <w:rPr/>
            </w:pPr>
            <w:r>
              <w:rPr/>
              <w:t>176,205</w:t>
            </w:r>
          </w:p>
        </w:tc>
        <w:tc>
          <w:tcPr>
            <w:tcW w:w="60" w:type="dxa"/>
            <w:tcBorders/>
            <w:vAlign w:val="bottom"/>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1687" w:type="dxa"/>
            <w:tcBorders/>
            <w:vAlign w:val="bottom"/>
          </w:tcPr>
          <w:p>
            <w:pPr>
              <w:pStyle w:val="TableContents"/>
              <w:bidi w:val="0"/>
              <w:spacing w:before="0" w:after="283"/>
              <w:jc w:val="right"/>
              <w:rPr/>
            </w:pPr>
            <w:r>
              <w:rPr/>
              <w:t>176,083</w:t>
            </w:r>
          </w:p>
        </w:tc>
        <w:tc>
          <w:tcPr>
            <w:tcW w:w="64" w:type="dxa"/>
            <w:tcBorders/>
            <w:vAlign w:val="bottom"/>
          </w:tcPr>
          <w:p>
            <w:pPr>
              <w:pStyle w:val="TableContents"/>
              <w:bidi w:val="0"/>
              <w:spacing w:before="0" w:after="283"/>
              <w:jc w:val="left"/>
              <w:rPr/>
            </w:pPr>
            <w:r>
              <w:rPr/>
              <w:t> </w:t>
            </w:r>
          </w:p>
        </w:tc>
      </w:tr>
      <w:tr>
        <w:trPr/>
        <w:tc>
          <w:tcPr>
            <w:tcW w:w="5904" w:type="dxa"/>
            <w:tcBorders/>
            <w:shd w:fill="CCEEFF" w:val="clear"/>
          </w:tcPr>
          <w:p>
            <w:pPr>
              <w:pStyle w:val="TableContents"/>
              <w:bidi w:val="0"/>
              <w:spacing w:before="0" w:after="0"/>
              <w:jc w:val="left"/>
              <w:rPr>
                <w:rFonts w:ascii="Times New Roman" w:hAnsi="Times New Roman"/>
                <w:b/>
                <w:i/>
                <w:sz w:val="20"/>
              </w:rPr>
            </w:pPr>
            <w:r>
              <w:rPr>
                <w:rFonts w:ascii="Times New Roman" w:hAnsi="Times New Roman"/>
                <w:b/>
                <w:i/>
                <w:sz w:val="20"/>
              </w:rPr>
              <w:t>Operating Lease Liabilities</w:t>
            </w:r>
          </w:p>
        </w:tc>
        <w:tc>
          <w:tcPr>
            <w:tcW w:w="329"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397" w:type="dxa"/>
            <w:tcBorders/>
            <w:shd w:fill="CCEEFF" w:val="clear"/>
            <w:vAlign w:val="bottom"/>
          </w:tcPr>
          <w:p>
            <w:pPr>
              <w:pStyle w:val="TableContents"/>
              <w:bidi w:val="0"/>
              <w:spacing w:before="0" w:after="283"/>
              <w:jc w:val="right"/>
              <w:rPr/>
            </w:pPr>
            <w:r>
              <w:rPr/>
              <w:t>53,527</w:t>
            </w:r>
          </w:p>
        </w:tc>
        <w:tc>
          <w:tcPr>
            <w:tcW w:w="60" w:type="dxa"/>
            <w:tcBorders/>
            <w:shd w:fill="CCEEFF" w:val="clear"/>
            <w:vAlign w:val="bottom"/>
          </w:tcPr>
          <w:p>
            <w:pPr>
              <w:pStyle w:val="TableContents"/>
              <w:bidi w:val="0"/>
              <w:spacing w:before="0" w:after="283"/>
              <w:jc w:val="left"/>
              <w:rPr/>
            </w:pPr>
            <w:r>
              <w:rPr/>
              <w:t> </w:t>
            </w:r>
          </w:p>
        </w:tc>
        <w:tc>
          <w:tcPr>
            <w:tcW w:w="329"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 </w:t>
            </w:r>
          </w:p>
        </w:tc>
        <w:tc>
          <w:tcPr>
            <w:tcW w:w="1687" w:type="dxa"/>
            <w:tcBorders/>
            <w:shd w:fill="CCEEFF" w:val="clear"/>
            <w:vAlign w:val="bottom"/>
          </w:tcPr>
          <w:p>
            <w:pPr>
              <w:pStyle w:val="TableContents"/>
              <w:bidi w:val="0"/>
              <w:spacing w:before="0" w:after="283"/>
              <w:jc w:val="right"/>
              <w:rPr/>
            </w:pPr>
            <w:r>
              <w:rPr/>
              <w:t>57,557</w:t>
            </w:r>
          </w:p>
        </w:tc>
        <w:tc>
          <w:tcPr>
            <w:tcW w:w="64" w:type="dxa"/>
            <w:tcBorders/>
            <w:shd w:fill="CCEEFF" w:val="clear"/>
            <w:vAlign w:val="bottom"/>
          </w:tcPr>
          <w:p>
            <w:pPr>
              <w:pStyle w:val="TableContents"/>
              <w:bidi w:val="0"/>
              <w:spacing w:before="0" w:after="283"/>
              <w:jc w:val="left"/>
              <w:rPr/>
            </w:pPr>
            <w:r>
              <w:rPr/>
              <w:t> </w:t>
            </w:r>
          </w:p>
        </w:tc>
      </w:tr>
      <w:tr>
        <w:trPr/>
        <w:tc>
          <w:tcPr>
            <w:tcW w:w="5904"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Long-Term Debt</w:t>
            </w:r>
          </w:p>
        </w:tc>
        <w:tc>
          <w:tcPr>
            <w:tcW w:w="329"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397" w:type="dxa"/>
            <w:tcBorders/>
            <w:vAlign w:val="bottom"/>
          </w:tcPr>
          <w:p>
            <w:pPr>
              <w:pStyle w:val="TableContents"/>
              <w:bidi w:val="0"/>
              <w:spacing w:before="0" w:after="283"/>
              <w:jc w:val="right"/>
              <w:rPr/>
            </w:pPr>
            <w:r>
              <w:rPr/>
              <w:t>1,588,917</w:t>
            </w:r>
          </w:p>
        </w:tc>
        <w:tc>
          <w:tcPr>
            <w:tcW w:w="60" w:type="dxa"/>
            <w:tcBorders/>
            <w:vAlign w:val="bottom"/>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1687" w:type="dxa"/>
            <w:tcBorders/>
            <w:vAlign w:val="bottom"/>
          </w:tcPr>
          <w:p>
            <w:pPr>
              <w:pStyle w:val="TableContents"/>
              <w:bidi w:val="0"/>
              <w:spacing w:before="0" w:after="283"/>
              <w:jc w:val="right"/>
              <w:rPr/>
            </w:pPr>
            <w:r>
              <w:rPr/>
              <w:t>1,649,268</w:t>
            </w:r>
          </w:p>
        </w:tc>
        <w:tc>
          <w:tcPr>
            <w:tcW w:w="64" w:type="dxa"/>
            <w:tcBorders/>
            <w:vAlign w:val="bottom"/>
          </w:tcPr>
          <w:p>
            <w:pPr>
              <w:pStyle w:val="TableContents"/>
              <w:bidi w:val="0"/>
              <w:spacing w:before="0" w:after="283"/>
              <w:jc w:val="left"/>
              <w:rPr/>
            </w:pPr>
            <w:r>
              <w:rPr/>
              <w:t> </w:t>
            </w:r>
          </w:p>
        </w:tc>
      </w:tr>
      <w:tr>
        <w:trPr/>
        <w:tc>
          <w:tcPr>
            <w:tcW w:w="5904" w:type="dxa"/>
            <w:tcBorders/>
            <w:shd w:fill="CCEEFF" w:val="clear"/>
          </w:tcPr>
          <w:p>
            <w:pPr>
              <w:pStyle w:val="TableContents"/>
              <w:bidi w:val="0"/>
              <w:spacing w:before="0" w:after="0"/>
              <w:jc w:val="left"/>
              <w:rPr>
                <w:rFonts w:ascii="Times New Roman" w:hAnsi="Times New Roman"/>
                <w:b/>
                <w:i/>
                <w:sz w:val="20"/>
              </w:rPr>
            </w:pPr>
            <w:r>
              <w:rPr>
                <w:rFonts w:ascii="Times New Roman" w:hAnsi="Times New Roman"/>
                <w:b/>
                <w:i/>
                <w:sz w:val="20"/>
              </w:rPr>
              <w:t>Total Shareholders’ Equity</w:t>
            </w:r>
          </w:p>
        </w:tc>
        <w:tc>
          <w:tcPr>
            <w:tcW w:w="329"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397" w:type="dxa"/>
            <w:tcBorders/>
            <w:shd w:fill="CCEEFF" w:val="clear"/>
            <w:vAlign w:val="bottom"/>
          </w:tcPr>
          <w:p>
            <w:pPr>
              <w:pStyle w:val="TableContents"/>
              <w:bidi w:val="0"/>
              <w:spacing w:before="0" w:after="283"/>
              <w:jc w:val="right"/>
              <w:rPr/>
            </w:pPr>
            <w:r>
              <w:rPr/>
              <w:t>1,495,556</w:t>
            </w:r>
          </w:p>
        </w:tc>
        <w:tc>
          <w:tcPr>
            <w:tcW w:w="60" w:type="dxa"/>
            <w:tcBorders/>
            <w:shd w:fill="CCEEFF" w:val="clear"/>
            <w:vAlign w:val="bottom"/>
          </w:tcPr>
          <w:p>
            <w:pPr>
              <w:pStyle w:val="TableContents"/>
              <w:bidi w:val="0"/>
              <w:spacing w:before="0" w:after="283"/>
              <w:jc w:val="left"/>
              <w:rPr/>
            </w:pPr>
            <w:r>
              <w:rPr/>
              <w:t> </w:t>
            </w:r>
          </w:p>
        </w:tc>
        <w:tc>
          <w:tcPr>
            <w:tcW w:w="329"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 </w:t>
            </w:r>
          </w:p>
        </w:tc>
        <w:tc>
          <w:tcPr>
            <w:tcW w:w="1687" w:type="dxa"/>
            <w:tcBorders/>
            <w:shd w:fill="CCEEFF" w:val="clear"/>
            <w:vAlign w:val="bottom"/>
          </w:tcPr>
          <w:p>
            <w:pPr>
              <w:pStyle w:val="TableContents"/>
              <w:bidi w:val="0"/>
              <w:spacing w:before="0" w:after="283"/>
              <w:jc w:val="right"/>
              <w:rPr/>
            </w:pPr>
            <w:r>
              <w:rPr/>
              <w:t>1,504,134</w:t>
            </w:r>
          </w:p>
        </w:tc>
        <w:tc>
          <w:tcPr>
            <w:tcW w:w="64" w:type="dxa"/>
            <w:tcBorders/>
            <w:shd w:fill="CCEEFF" w:val="clear"/>
            <w:vAlign w:val="bottom"/>
          </w:tcPr>
          <w:p>
            <w:pPr>
              <w:pStyle w:val="TableContents"/>
              <w:bidi w:val="0"/>
              <w:spacing w:before="0" w:after="283"/>
              <w:jc w:val="left"/>
              <w:rPr/>
            </w:pPr>
            <w:r>
              <w:rPr/>
              <w:t> </w:t>
            </w:r>
          </w:p>
        </w:tc>
      </w:tr>
      <w:tr>
        <w:trPr/>
        <w:tc>
          <w:tcPr>
            <w:tcW w:w="5904" w:type="dxa"/>
            <w:tcBorders/>
            <w:vAlign w:val="bottom"/>
          </w:tcPr>
          <w:p>
            <w:pPr>
              <w:pStyle w:val="TableContents"/>
              <w:bidi w:val="0"/>
              <w:spacing w:before="0" w:after="283"/>
              <w:jc w:val="left"/>
              <w:rPr>
                <w:sz w:val="4"/>
                <w:szCs w:val="4"/>
              </w:rPr>
            </w:pPr>
            <w:r>
              <w:rPr>
                <w:sz w:val="4"/>
                <w:szCs w:val="4"/>
              </w:rPr>
            </w:r>
          </w:p>
        </w:tc>
        <w:tc>
          <w:tcPr>
            <w:tcW w:w="329" w:type="dxa"/>
            <w:tcBorders/>
            <w:vAlign w:val="bottom"/>
          </w:tcPr>
          <w:p>
            <w:pPr>
              <w:pStyle w:val="TableContents"/>
              <w:bidi w:val="0"/>
              <w:spacing w:before="0" w:after="283"/>
              <w:jc w:val="left"/>
              <w:rPr/>
            </w:pPr>
            <w:r>
              <w:rPr/>
              <w:t>  </w:t>
            </w:r>
          </w:p>
        </w:tc>
        <w:tc>
          <w:tcPr>
            <w:tcW w:w="197" w:type="dxa"/>
            <w:tcBorders/>
            <w:vAlign w:val="bottom"/>
          </w:tcPr>
          <w:p>
            <w:pPr>
              <w:pStyle w:val="TableContents"/>
              <w:pBdr>
                <w:top w:val="single" w:sz="2" w:space="1" w:color="000000"/>
              </w:pBdr>
              <w:bidi w:val="0"/>
              <w:spacing w:before="0" w:after="0"/>
              <w:jc w:val="left"/>
              <w:rPr/>
            </w:pPr>
            <w:r>
              <w:rPr/>
              <w:t> </w:t>
            </w:r>
          </w:p>
        </w:tc>
        <w:tc>
          <w:tcPr>
            <w:tcW w:w="139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238" w:type="dxa"/>
            <w:tcBorders/>
            <w:vAlign w:val="bottom"/>
          </w:tcPr>
          <w:p>
            <w:pPr>
              <w:pStyle w:val="TableContents"/>
              <w:pBdr>
                <w:top w:val="single" w:sz="2" w:space="1" w:color="000000"/>
              </w:pBdr>
              <w:bidi w:val="0"/>
              <w:spacing w:before="0" w:after="0"/>
              <w:jc w:val="left"/>
              <w:rPr/>
            </w:pPr>
            <w:r>
              <w:rPr/>
              <w:t> </w:t>
            </w:r>
          </w:p>
        </w:tc>
        <w:tc>
          <w:tcPr>
            <w:tcW w:w="1687"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5904" w:type="dxa"/>
            <w:tcBorders/>
          </w:tcPr>
          <w:p>
            <w:pPr>
              <w:pStyle w:val="TableContents"/>
              <w:bidi w:val="0"/>
              <w:spacing w:before="0" w:after="0"/>
              <w:jc w:val="center"/>
              <w:rPr>
                <w:rFonts w:ascii="Times New Roman" w:hAnsi="Times New Roman"/>
                <w:b/>
                <w:sz w:val="20"/>
              </w:rPr>
            </w:pPr>
            <w:r>
              <w:rPr>
                <w:rFonts w:ascii="Times New Roman" w:hAnsi="Times New Roman"/>
                <w:b/>
                <w:sz w:val="20"/>
              </w:rPr>
              <w:t>Total Liabilities and Shareholders’ Equity</w:t>
            </w:r>
          </w:p>
        </w:tc>
        <w:tc>
          <w:tcPr>
            <w:tcW w:w="329"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b/>
              </w:rPr>
            </w:pPr>
            <w:r>
              <w:rPr>
                <w:b/>
              </w:rPr>
              <w:t>$</w:t>
            </w:r>
          </w:p>
        </w:tc>
        <w:tc>
          <w:tcPr>
            <w:tcW w:w="1397" w:type="dxa"/>
            <w:tcBorders/>
            <w:vAlign w:val="bottom"/>
          </w:tcPr>
          <w:p>
            <w:pPr>
              <w:pStyle w:val="TableContents"/>
              <w:bidi w:val="0"/>
              <w:spacing w:before="0" w:after="283"/>
              <w:jc w:val="right"/>
              <w:rPr>
                <w:b/>
              </w:rPr>
            </w:pPr>
            <w:r>
              <w:rPr>
                <w:b/>
              </w:rPr>
              <w:t>3,812,238</w:t>
            </w:r>
          </w:p>
        </w:tc>
        <w:tc>
          <w:tcPr>
            <w:tcW w:w="60" w:type="dxa"/>
            <w:tcBorders/>
            <w:vAlign w:val="bottom"/>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b/>
              </w:rPr>
            </w:pPr>
            <w:r>
              <w:rPr>
                <w:b/>
              </w:rPr>
              <w:t>$</w:t>
            </w:r>
          </w:p>
        </w:tc>
        <w:tc>
          <w:tcPr>
            <w:tcW w:w="1687" w:type="dxa"/>
            <w:tcBorders/>
            <w:vAlign w:val="bottom"/>
          </w:tcPr>
          <w:p>
            <w:pPr>
              <w:pStyle w:val="TableContents"/>
              <w:bidi w:val="0"/>
              <w:spacing w:before="0" w:after="283"/>
              <w:jc w:val="right"/>
              <w:rPr>
                <w:b/>
              </w:rPr>
            </w:pPr>
            <w:r>
              <w:rPr>
                <w:b/>
              </w:rPr>
              <w:t>3,843,622</w:t>
            </w:r>
          </w:p>
        </w:tc>
        <w:tc>
          <w:tcPr>
            <w:tcW w:w="64" w:type="dxa"/>
            <w:tcBorders/>
            <w:vAlign w:val="bottom"/>
          </w:tcPr>
          <w:p>
            <w:pPr>
              <w:pStyle w:val="TableContents"/>
              <w:bidi w:val="0"/>
              <w:spacing w:before="0" w:after="283"/>
              <w:jc w:val="left"/>
              <w:rPr/>
            </w:pPr>
            <w:r>
              <w:rPr/>
              <w:t> </w:t>
            </w:r>
          </w:p>
        </w:tc>
      </w:tr>
      <w:tr>
        <w:trPr/>
        <w:tc>
          <w:tcPr>
            <w:tcW w:w="5904" w:type="dxa"/>
            <w:tcBorders/>
            <w:vAlign w:val="bottom"/>
          </w:tcPr>
          <w:p>
            <w:pPr>
              <w:pStyle w:val="TableContents"/>
              <w:bidi w:val="0"/>
              <w:spacing w:before="0" w:after="283"/>
              <w:jc w:val="left"/>
              <w:rPr>
                <w:sz w:val="4"/>
                <w:szCs w:val="4"/>
              </w:rPr>
            </w:pPr>
            <w:r>
              <w:rPr>
                <w:sz w:val="4"/>
                <w:szCs w:val="4"/>
              </w:rPr>
            </w:r>
          </w:p>
        </w:tc>
        <w:tc>
          <w:tcPr>
            <w:tcW w:w="329" w:type="dxa"/>
            <w:tcBorders/>
            <w:vAlign w:val="bottom"/>
          </w:tcPr>
          <w:p>
            <w:pPr>
              <w:pStyle w:val="TableContents"/>
              <w:bidi w:val="0"/>
              <w:spacing w:before="0" w:after="283"/>
              <w:jc w:val="left"/>
              <w:rPr/>
            </w:pPr>
            <w:r>
              <w:rPr/>
              <w:t>  </w:t>
            </w:r>
          </w:p>
        </w:tc>
        <w:tc>
          <w:tcPr>
            <w:tcW w:w="197" w:type="dxa"/>
            <w:tcBorders/>
            <w:vAlign w:val="bottom"/>
          </w:tcPr>
          <w:p>
            <w:pPr>
              <w:pStyle w:val="TableContents"/>
              <w:pBdr>
                <w:top w:val="double" w:sz="6" w:space="1" w:color="000000"/>
              </w:pBdr>
              <w:bidi w:val="0"/>
              <w:spacing w:before="0" w:after="0"/>
              <w:jc w:val="left"/>
              <w:rPr/>
            </w:pPr>
            <w:r>
              <w:rPr/>
              <w:t> </w:t>
            </w:r>
          </w:p>
        </w:tc>
        <w:tc>
          <w:tcPr>
            <w:tcW w:w="139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238" w:type="dxa"/>
            <w:tcBorders/>
            <w:vAlign w:val="bottom"/>
          </w:tcPr>
          <w:p>
            <w:pPr>
              <w:pStyle w:val="TableContents"/>
              <w:pBdr>
                <w:top w:val="double" w:sz="6" w:space="1" w:color="000000"/>
              </w:pBdr>
              <w:bidi w:val="0"/>
              <w:spacing w:before="0" w:after="0"/>
              <w:jc w:val="left"/>
              <w:rPr/>
            </w:pPr>
            <w:r>
              <w:rPr/>
              <w:t> </w:t>
            </w:r>
          </w:p>
        </w:tc>
        <w:tc>
          <w:tcPr>
            <w:tcW w:w="1687"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figures in ‘000s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97"/>
        <w:gridCol w:w="123"/>
        <w:gridCol w:w="3233"/>
        <w:gridCol w:w="123"/>
        <w:gridCol w:w="3129"/>
      </w:tblGrid>
      <w:tr>
        <w:trPr/>
        <w:tc>
          <w:tcPr>
            <w:tcW w:w="3597"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233"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129" w:type="dxa"/>
            <w:tcBorders/>
            <w:vAlign w:val="center"/>
          </w:tcPr>
          <w:p>
            <w:pPr>
              <w:pStyle w:val="TableContents"/>
              <w:bidi w:val="0"/>
              <w:spacing w:before="0" w:after="283"/>
              <w:jc w:val="left"/>
              <w:rPr>
                <w:sz w:val="4"/>
                <w:szCs w:val="4"/>
              </w:rPr>
            </w:pPr>
            <w:r>
              <w:rPr>
                <w:sz w:val="4"/>
                <w:szCs w:val="4"/>
              </w:rPr>
            </w:r>
          </w:p>
        </w:tc>
      </w:tr>
      <w:tr>
        <w:trPr/>
        <w:tc>
          <w:tcPr>
            <w:tcW w:w="3597"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233" w:type="dxa"/>
            <w:tcBorders/>
          </w:tcPr>
          <w:p>
            <w:pPr>
              <w:pStyle w:val="TableContents"/>
              <w:bidi w:val="0"/>
              <w:spacing w:before="0" w:after="283"/>
              <w:jc w:val="center"/>
              <w:rPr/>
            </w:pPr>
            <w:r>
              <w:rPr/>
              <w:t xml:space="preserve">— </w:t>
            </w:r>
            <w:r>
              <w:rPr>
                <w:b/>
              </w:rPr>
              <w:t>More —</w:t>
            </w:r>
          </w:p>
        </w:tc>
        <w:tc>
          <w:tcPr>
            <w:tcW w:w="123" w:type="dxa"/>
            <w:tcBorders/>
            <w:vAlign w:val="bottom"/>
          </w:tcPr>
          <w:p>
            <w:pPr>
              <w:pStyle w:val="TableContents"/>
              <w:bidi w:val="0"/>
              <w:spacing w:before="0" w:after="283"/>
              <w:jc w:val="left"/>
              <w:rPr/>
            </w:pPr>
            <w:r>
              <w:rPr/>
              <w:t>  </w:t>
            </w:r>
          </w:p>
        </w:tc>
        <w:tc>
          <w:tcPr>
            <w:tcW w:w="3129" w:type="dxa"/>
            <w:tcBorders/>
          </w:tcPr>
          <w:p>
            <w:pPr>
              <w:pStyle w:val="TableContents"/>
              <w:bidi w:val="0"/>
              <w:spacing w:before="0" w:after="283"/>
              <w:jc w:val="left"/>
              <w:rPr>
                <w:sz w:val="4"/>
                <w:szCs w:val="4"/>
              </w:rPr>
            </w:pPr>
            <w:r>
              <w:rPr>
                <w:sz w:val="4"/>
                <w:szCs w:val="4"/>
              </w:rPr>
            </w:r>
          </w:p>
        </w:tc>
      </w:tr>
      <w:tr>
        <w:trPr/>
        <w:tc>
          <w:tcPr>
            <w:tcW w:w="3597" w:type="dxa"/>
            <w:tcBorders/>
          </w:tcPr>
          <w:p>
            <w:pPr>
              <w:pStyle w:val="TableContents"/>
              <w:bidi w:val="0"/>
              <w:spacing w:before="0" w:after="283"/>
              <w:jc w:val="left"/>
              <w:rPr/>
            </w:pPr>
            <w:r>
              <w:rPr>
                <w:b/>
              </w:rPr>
              <w:t xml:space="preserve">Contact: </w:t>
            </w:r>
            <w:r>
              <w:rPr/>
              <w:t>Pablo E. Paez</w:t>
            </w:r>
          </w:p>
        </w:tc>
        <w:tc>
          <w:tcPr>
            <w:tcW w:w="123" w:type="dxa"/>
            <w:tcBorders/>
            <w:vAlign w:val="bottom"/>
          </w:tcPr>
          <w:p>
            <w:pPr>
              <w:pStyle w:val="TableContents"/>
              <w:bidi w:val="0"/>
              <w:spacing w:before="0" w:after="283"/>
              <w:jc w:val="left"/>
              <w:rPr/>
            </w:pPr>
            <w:r>
              <w:rPr/>
              <w:t>  </w:t>
            </w:r>
          </w:p>
        </w:tc>
        <w:tc>
          <w:tcPr>
            <w:tcW w:w="3233"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129" w:type="dxa"/>
            <w:tcBorders/>
          </w:tcPr>
          <w:p>
            <w:pPr>
              <w:pStyle w:val="TableContents"/>
              <w:bidi w:val="0"/>
              <w:spacing w:before="0" w:after="283"/>
              <w:jc w:val="left"/>
              <w:rPr/>
            </w:pPr>
            <w:r>
              <w:rPr/>
              <w:t>(866) 301 4436</w:t>
            </w:r>
          </w:p>
        </w:tc>
      </w:tr>
      <w:tr>
        <w:trPr/>
        <w:tc>
          <w:tcPr>
            <w:tcW w:w="6953"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Executive Vice President, Corporate Relations</w:t>
            </w:r>
          </w:p>
        </w:tc>
        <w:tc>
          <w:tcPr>
            <w:tcW w:w="123" w:type="dxa"/>
            <w:tcBorders/>
            <w:vAlign w:val="bottom"/>
          </w:tcPr>
          <w:p>
            <w:pPr>
              <w:pStyle w:val="TableContents"/>
              <w:bidi w:val="0"/>
              <w:spacing w:before="0" w:after="283"/>
              <w:jc w:val="left"/>
              <w:rPr/>
            </w:pPr>
            <w:r>
              <w:rPr/>
              <w:t>  </w:t>
            </w:r>
          </w:p>
        </w:tc>
        <w:tc>
          <w:tcPr>
            <w:tcW w:w="3129"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b/>
          <w:sz w:val="20"/>
        </w:rPr>
      </w:pPr>
      <w:r>
        <w:rPr>
          <w:rFonts w:ascii="Times New Roman" w:hAnsi="Times New Roman"/>
          <w:b/>
          <w:sz w:val="20"/>
        </w:rPr>
        <w:t xml:space="preserve">N E W S R E L E A S E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u w:val="single"/>
        </w:rPr>
        <w:t>Condensed Consolidated Statements of Operations</w:t>
      </w:r>
      <w:r>
        <w:rPr>
          <w:rFonts w:ascii="Times New Roman" w:hAnsi="Times New Roman"/>
          <w:b/>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368"/>
        <w:gridCol w:w="233"/>
        <w:gridCol w:w="154"/>
        <w:gridCol w:w="894"/>
        <w:gridCol w:w="155"/>
        <w:gridCol w:w="194"/>
        <w:gridCol w:w="154"/>
        <w:gridCol w:w="894"/>
        <w:gridCol w:w="159"/>
      </w:tblGrid>
      <w:tr>
        <w:trPr/>
        <w:tc>
          <w:tcPr>
            <w:tcW w:w="7368" w:type="dxa"/>
            <w:tcBorders/>
            <w:vAlign w:val="center"/>
          </w:tcPr>
          <w:p>
            <w:pPr>
              <w:pStyle w:val="TableContents"/>
              <w:bidi w:val="0"/>
              <w:spacing w:before="0" w:after="283"/>
              <w:jc w:val="left"/>
              <w:rPr>
                <w:sz w:val="4"/>
                <w:szCs w:val="4"/>
              </w:rPr>
            </w:pPr>
            <w:r>
              <w:rPr>
                <w:sz w:val="4"/>
                <w:szCs w:val="4"/>
              </w:rPr>
            </w:r>
          </w:p>
        </w:tc>
        <w:tc>
          <w:tcPr>
            <w:tcW w:w="233" w:type="dxa"/>
            <w:tcBorders/>
            <w:vAlign w:val="bottom"/>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94" w:type="dxa"/>
            <w:tcBorders/>
            <w:vAlign w:val="bottom"/>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368"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1048" w:type="dxa"/>
            <w:gridSpan w:val="2"/>
            <w:tcBorders>
              <w:bottom w:val="single" w:sz="8" w:space="0" w:color="000000"/>
            </w:tcBorders>
            <w:tcMar>
              <w:bottom w:w="28" w:type="dxa"/>
            </w:tcMar>
            <w:vAlign w:val="bottom"/>
          </w:tcPr>
          <w:p>
            <w:pPr>
              <w:pStyle w:val="TableContents"/>
              <w:bidi w:val="0"/>
              <w:spacing w:before="0" w:after="283"/>
              <w:jc w:val="center"/>
              <w:rPr>
                <w:b/>
                <w:i/>
              </w:rPr>
            </w:pPr>
            <w:r>
              <w:rPr>
                <w:b/>
                <w:i/>
              </w:rPr>
              <w:t>Q1 2026</w:t>
            </w:r>
          </w:p>
        </w:tc>
        <w:tc>
          <w:tcPr>
            <w:tcW w:w="155"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048" w:type="dxa"/>
            <w:gridSpan w:val="2"/>
            <w:tcBorders>
              <w:bottom w:val="single" w:sz="8" w:space="0" w:color="000000"/>
            </w:tcBorders>
            <w:tcMar>
              <w:bottom w:w="28" w:type="dxa"/>
            </w:tcMar>
            <w:vAlign w:val="bottom"/>
          </w:tcPr>
          <w:p>
            <w:pPr>
              <w:pStyle w:val="TableContents"/>
              <w:bidi w:val="0"/>
              <w:spacing w:before="0" w:after="283"/>
              <w:jc w:val="center"/>
              <w:rPr>
                <w:b/>
                <w:i/>
              </w:rPr>
            </w:pPr>
            <w:r>
              <w:rPr>
                <w:b/>
                <w:i/>
              </w:rPr>
              <w:t>Q1 2025</w:t>
            </w:r>
          </w:p>
        </w:tc>
        <w:tc>
          <w:tcPr>
            <w:tcW w:w="159" w:type="dxa"/>
            <w:tcBorders/>
            <w:vAlign w:val="bottom"/>
          </w:tcPr>
          <w:p>
            <w:pPr>
              <w:pStyle w:val="TableContents"/>
              <w:bidi w:val="0"/>
              <w:spacing w:before="0" w:after="283"/>
              <w:jc w:val="left"/>
              <w:rPr/>
            </w:pPr>
            <w:r>
              <w:rPr/>
              <w:t> </w:t>
            </w:r>
          </w:p>
        </w:tc>
      </w:tr>
      <w:tr>
        <w:trPr/>
        <w:tc>
          <w:tcPr>
            <w:tcW w:w="7368"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1048" w:type="dxa"/>
            <w:gridSpan w:val="2"/>
            <w:tcBorders/>
            <w:vAlign w:val="bottom"/>
          </w:tcPr>
          <w:p>
            <w:pPr>
              <w:pStyle w:val="TableContents"/>
              <w:bidi w:val="0"/>
              <w:spacing w:before="0" w:after="283"/>
              <w:jc w:val="center"/>
              <w:rPr>
                <w:i/>
              </w:rPr>
            </w:pPr>
            <w:r>
              <w:rPr>
                <w:i/>
              </w:rPr>
              <w:t>(unaudited)</w:t>
            </w:r>
          </w:p>
        </w:tc>
        <w:tc>
          <w:tcPr>
            <w:tcW w:w="155"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048" w:type="dxa"/>
            <w:gridSpan w:val="2"/>
            <w:tcBorders/>
            <w:vAlign w:val="bottom"/>
          </w:tcPr>
          <w:p>
            <w:pPr>
              <w:pStyle w:val="TableContents"/>
              <w:bidi w:val="0"/>
              <w:spacing w:before="0" w:after="283"/>
              <w:jc w:val="center"/>
              <w:rPr>
                <w:i/>
              </w:rPr>
            </w:pPr>
            <w:r>
              <w:rPr>
                <w:i/>
              </w:rPr>
              <w:t>(unaudited)</w:t>
            </w:r>
          </w:p>
        </w:tc>
        <w:tc>
          <w:tcPr>
            <w:tcW w:w="159" w:type="dxa"/>
            <w:tcBorders/>
            <w:vAlign w:val="bottom"/>
          </w:tcPr>
          <w:p>
            <w:pPr>
              <w:pStyle w:val="TableContents"/>
              <w:bidi w:val="0"/>
              <w:spacing w:before="0" w:after="283"/>
              <w:jc w:val="left"/>
              <w:rPr/>
            </w:pPr>
            <w:r>
              <w:rPr/>
              <w:t> </w:t>
            </w:r>
          </w:p>
        </w:tc>
      </w:tr>
      <w:tr>
        <w:trPr/>
        <w:tc>
          <w:tcPr>
            <w:tcW w:w="736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Revenues</w:t>
            </w:r>
          </w:p>
        </w:tc>
        <w:tc>
          <w:tcPr>
            <w:tcW w:w="233"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w:t>
            </w:r>
          </w:p>
        </w:tc>
        <w:tc>
          <w:tcPr>
            <w:tcW w:w="894" w:type="dxa"/>
            <w:tcBorders/>
            <w:shd w:fill="CCEEFF" w:val="clear"/>
            <w:vAlign w:val="bottom"/>
          </w:tcPr>
          <w:p>
            <w:pPr>
              <w:pStyle w:val="TableContents"/>
              <w:bidi w:val="0"/>
              <w:spacing w:before="0" w:after="283"/>
              <w:jc w:val="right"/>
              <w:rPr/>
            </w:pPr>
            <w:r>
              <w:rPr/>
              <w:t>705,213</w:t>
            </w:r>
          </w:p>
        </w:tc>
        <w:tc>
          <w:tcPr>
            <w:tcW w:w="155"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w:t>
            </w:r>
          </w:p>
        </w:tc>
        <w:tc>
          <w:tcPr>
            <w:tcW w:w="894" w:type="dxa"/>
            <w:tcBorders/>
            <w:shd w:fill="CCEEFF" w:val="clear"/>
            <w:vAlign w:val="bottom"/>
          </w:tcPr>
          <w:p>
            <w:pPr>
              <w:pStyle w:val="TableContents"/>
              <w:bidi w:val="0"/>
              <w:spacing w:before="0" w:after="283"/>
              <w:jc w:val="right"/>
              <w:rPr/>
            </w:pPr>
            <w:r>
              <w:rPr/>
              <w:t>604,647</w:t>
            </w:r>
          </w:p>
        </w:tc>
        <w:tc>
          <w:tcPr>
            <w:tcW w:w="159" w:type="dxa"/>
            <w:tcBorders/>
            <w:shd w:fill="CCEEFF" w:val="clear"/>
            <w:vAlign w:val="bottom"/>
          </w:tcPr>
          <w:p>
            <w:pPr>
              <w:pStyle w:val="TableContents"/>
              <w:bidi w:val="0"/>
              <w:spacing w:before="0" w:after="283"/>
              <w:jc w:val="left"/>
              <w:rPr/>
            </w:pPr>
            <w:r>
              <w:rPr/>
              <w:t> </w:t>
            </w:r>
          </w:p>
        </w:tc>
      </w:tr>
      <w:tr>
        <w:trPr/>
        <w:tc>
          <w:tcPr>
            <w:tcW w:w="7368" w:type="dxa"/>
            <w:tcBorders/>
          </w:tcPr>
          <w:p>
            <w:pPr>
              <w:pStyle w:val="TableContents"/>
              <w:bidi w:val="0"/>
              <w:spacing w:before="0" w:after="0"/>
              <w:jc w:val="left"/>
              <w:rPr>
                <w:rFonts w:ascii="Times New Roman" w:hAnsi="Times New Roman"/>
                <w:b/>
                <w:sz w:val="20"/>
              </w:rPr>
            </w:pPr>
            <w:r>
              <w:rPr>
                <w:rFonts w:ascii="Times New Roman" w:hAnsi="Times New Roman"/>
                <w:b/>
                <w:sz w:val="20"/>
              </w:rPr>
              <w:t>Operating expenses</w:t>
            </w:r>
          </w:p>
        </w:tc>
        <w:tc>
          <w:tcPr>
            <w:tcW w:w="233"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894" w:type="dxa"/>
            <w:tcBorders/>
            <w:vAlign w:val="bottom"/>
          </w:tcPr>
          <w:p>
            <w:pPr>
              <w:pStyle w:val="TableContents"/>
              <w:bidi w:val="0"/>
              <w:spacing w:before="0" w:after="283"/>
              <w:jc w:val="right"/>
              <w:rPr/>
            </w:pPr>
            <w:r>
              <w:rPr/>
              <w:t>521,509</w:t>
            </w:r>
          </w:p>
        </w:tc>
        <w:tc>
          <w:tcPr>
            <w:tcW w:w="155"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894" w:type="dxa"/>
            <w:tcBorders/>
            <w:vAlign w:val="bottom"/>
          </w:tcPr>
          <w:p>
            <w:pPr>
              <w:pStyle w:val="TableContents"/>
              <w:bidi w:val="0"/>
              <w:spacing w:before="0" w:after="283"/>
              <w:jc w:val="right"/>
              <w:rPr/>
            </w:pPr>
            <w:r>
              <w:rPr/>
              <w:t>453,778</w:t>
            </w:r>
          </w:p>
        </w:tc>
        <w:tc>
          <w:tcPr>
            <w:tcW w:w="159" w:type="dxa"/>
            <w:tcBorders/>
            <w:vAlign w:val="bottom"/>
          </w:tcPr>
          <w:p>
            <w:pPr>
              <w:pStyle w:val="TableContents"/>
              <w:bidi w:val="0"/>
              <w:spacing w:before="0" w:after="283"/>
              <w:jc w:val="left"/>
              <w:rPr/>
            </w:pPr>
            <w:r>
              <w:rPr/>
              <w:t> </w:t>
            </w:r>
          </w:p>
        </w:tc>
      </w:tr>
      <w:tr>
        <w:trPr/>
        <w:tc>
          <w:tcPr>
            <w:tcW w:w="736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Depreciation and amortization</w:t>
            </w:r>
          </w:p>
        </w:tc>
        <w:tc>
          <w:tcPr>
            <w:tcW w:w="233"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894" w:type="dxa"/>
            <w:tcBorders/>
            <w:shd w:fill="CCEEFF" w:val="clear"/>
            <w:vAlign w:val="bottom"/>
          </w:tcPr>
          <w:p>
            <w:pPr>
              <w:pStyle w:val="TableContents"/>
              <w:bidi w:val="0"/>
              <w:spacing w:before="0" w:after="283"/>
              <w:jc w:val="right"/>
              <w:rPr/>
            </w:pPr>
            <w:r>
              <w:rPr/>
              <w:t>33,830</w:t>
            </w:r>
          </w:p>
        </w:tc>
        <w:tc>
          <w:tcPr>
            <w:tcW w:w="155"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894" w:type="dxa"/>
            <w:tcBorders/>
            <w:shd w:fill="CCEEFF" w:val="clear"/>
            <w:vAlign w:val="bottom"/>
          </w:tcPr>
          <w:p>
            <w:pPr>
              <w:pStyle w:val="TableContents"/>
              <w:bidi w:val="0"/>
              <w:spacing w:before="0" w:after="283"/>
              <w:jc w:val="right"/>
              <w:rPr/>
            </w:pPr>
            <w:r>
              <w:rPr/>
              <w:t>32,136</w:t>
            </w:r>
          </w:p>
        </w:tc>
        <w:tc>
          <w:tcPr>
            <w:tcW w:w="159" w:type="dxa"/>
            <w:tcBorders/>
            <w:shd w:fill="CCEEFF" w:val="clear"/>
            <w:vAlign w:val="bottom"/>
          </w:tcPr>
          <w:p>
            <w:pPr>
              <w:pStyle w:val="TableContents"/>
              <w:bidi w:val="0"/>
              <w:spacing w:before="0" w:after="283"/>
              <w:jc w:val="left"/>
              <w:rPr/>
            </w:pPr>
            <w:r>
              <w:rPr/>
              <w:t> </w:t>
            </w:r>
          </w:p>
        </w:tc>
      </w:tr>
      <w:tr>
        <w:trPr/>
        <w:tc>
          <w:tcPr>
            <w:tcW w:w="7368" w:type="dxa"/>
            <w:tcBorders/>
          </w:tcPr>
          <w:p>
            <w:pPr>
              <w:pStyle w:val="TableContents"/>
              <w:bidi w:val="0"/>
              <w:spacing w:before="0" w:after="0"/>
              <w:jc w:val="left"/>
              <w:rPr>
                <w:rFonts w:ascii="Times New Roman" w:hAnsi="Times New Roman"/>
                <w:b/>
                <w:sz w:val="20"/>
              </w:rPr>
            </w:pPr>
            <w:r>
              <w:rPr>
                <w:rFonts w:ascii="Times New Roman" w:hAnsi="Times New Roman"/>
                <w:b/>
                <w:sz w:val="20"/>
              </w:rPr>
              <w:t>General and administrative expenses</w:t>
            </w:r>
          </w:p>
        </w:tc>
        <w:tc>
          <w:tcPr>
            <w:tcW w:w="233"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894" w:type="dxa"/>
            <w:tcBorders/>
            <w:vAlign w:val="bottom"/>
          </w:tcPr>
          <w:p>
            <w:pPr>
              <w:pStyle w:val="TableContents"/>
              <w:bidi w:val="0"/>
              <w:spacing w:before="0" w:after="283"/>
              <w:jc w:val="right"/>
              <w:rPr/>
            </w:pPr>
            <w:r>
              <w:rPr/>
              <w:t>60,575</w:t>
            </w:r>
          </w:p>
        </w:tc>
        <w:tc>
          <w:tcPr>
            <w:tcW w:w="155"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894" w:type="dxa"/>
            <w:tcBorders/>
            <w:vAlign w:val="bottom"/>
          </w:tcPr>
          <w:p>
            <w:pPr>
              <w:pStyle w:val="TableContents"/>
              <w:bidi w:val="0"/>
              <w:spacing w:before="0" w:after="283"/>
              <w:jc w:val="right"/>
              <w:rPr/>
            </w:pPr>
            <w:r>
              <w:rPr/>
              <w:t>57,749</w:t>
            </w:r>
          </w:p>
        </w:tc>
        <w:tc>
          <w:tcPr>
            <w:tcW w:w="159" w:type="dxa"/>
            <w:tcBorders/>
            <w:vAlign w:val="bottom"/>
          </w:tcPr>
          <w:p>
            <w:pPr>
              <w:pStyle w:val="TableContents"/>
              <w:bidi w:val="0"/>
              <w:spacing w:before="0" w:after="283"/>
              <w:jc w:val="left"/>
              <w:rPr/>
            </w:pPr>
            <w:r>
              <w:rPr/>
              <w:t> </w:t>
            </w:r>
          </w:p>
        </w:tc>
      </w:tr>
      <w:tr>
        <w:trPr/>
        <w:tc>
          <w:tcPr>
            <w:tcW w:w="7368" w:type="dxa"/>
            <w:tcBorders/>
            <w:vAlign w:val="bottom"/>
          </w:tcPr>
          <w:p>
            <w:pPr>
              <w:pStyle w:val="TableContents"/>
              <w:bidi w:val="0"/>
              <w:spacing w:before="0" w:after="283"/>
              <w:jc w:val="left"/>
              <w:rPr>
                <w:sz w:val="4"/>
                <w:szCs w:val="4"/>
              </w:rPr>
            </w:pPr>
            <w:r>
              <w:rPr>
                <w:sz w:val="4"/>
                <w:szCs w:val="4"/>
              </w:rPr>
            </w:r>
          </w:p>
        </w:tc>
        <w:tc>
          <w:tcPr>
            <w:tcW w:w="233"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single" w:sz="2" w:space="1" w:color="000000"/>
              </w:pBdr>
              <w:bidi w:val="0"/>
              <w:spacing w:before="0" w:after="0"/>
              <w:jc w:val="left"/>
              <w:rPr/>
            </w:pPr>
            <w:r>
              <w:rPr/>
              <w:t> </w:t>
            </w:r>
          </w:p>
        </w:tc>
        <w:tc>
          <w:tcPr>
            <w:tcW w:w="8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single" w:sz="2" w:space="1" w:color="000000"/>
              </w:pBdr>
              <w:bidi w:val="0"/>
              <w:spacing w:before="0" w:after="0"/>
              <w:jc w:val="left"/>
              <w:rPr/>
            </w:pPr>
            <w:r>
              <w:rPr/>
              <w:t> </w:t>
            </w:r>
          </w:p>
        </w:tc>
        <w:tc>
          <w:tcPr>
            <w:tcW w:w="894"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368" w:type="dxa"/>
            <w:tcBorders/>
            <w:shd w:fill="CCEEFF" w:val="clear"/>
          </w:tcPr>
          <w:p>
            <w:pPr>
              <w:pStyle w:val="TableContents"/>
              <w:bidi w:val="0"/>
              <w:spacing w:before="0" w:after="0"/>
              <w:jc w:val="left"/>
              <w:rPr>
                <w:rFonts w:ascii="Times New Roman" w:hAnsi="Times New Roman"/>
                <w:b/>
                <w:i/>
                <w:sz w:val="20"/>
              </w:rPr>
            </w:pPr>
            <w:r>
              <w:rPr>
                <w:rFonts w:ascii="Times New Roman" w:hAnsi="Times New Roman"/>
                <w:b/>
                <w:i/>
                <w:sz w:val="20"/>
              </w:rPr>
              <w:t>Operating income</w:t>
            </w:r>
          </w:p>
        </w:tc>
        <w:tc>
          <w:tcPr>
            <w:tcW w:w="233"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894" w:type="dxa"/>
            <w:tcBorders/>
            <w:shd w:fill="CCEEFF" w:val="clear"/>
            <w:vAlign w:val="bottom"/>
          </w:tcPr>
          <w:p>
            <w:pPr>
              <w:pStyle w:val="TableContents"/>
              <w:bidi w:val="0"/>
              <w:spacing w:before="0" w:after="283"/>
              <w:jc w:val="right"/>
              <w:rPr>
                <w:b/>
              </w:rPr>
            </w:pPr>
            <w:r>
              <w:rPr>
                <w:b/>
              </w:rPr>
              <w:t>89,299</w:t>
            </w:r>
          </w:p>
        </w:tc>
        <w:tc>
          <w:tcPr>
            <w:tcW w:w="155"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894" w:type="dxa"/>
            <w:tcBorders/>
            <w:shd w:fill="CCEEFF" w:val="clear"/>
            <w:vAlign w:val="bottom"/>
          </w:tcPr>
          <w:p>
            <w:pPr>
              <w:pStyle w:val="TableContents"/>
              <w:bidi w:val="0"/>
              <w:spacing w:before="0" w:after="283"/>
              <w:jc w:val="right"/>
              <w:rPr>
                <w:b/>
              </w:rPr>
            </w:pPr>
            <w:r>
              <w:rPr>
                <w:b/>
              </w:rPr>
              <w:t>60,984</w:t>
            </w:r>
          </w:p>
        </w:tc>
        <w:tc>
          <w:tcPr>
            <w:tcW w:w="159" w:type="dxa"/>
            <w:tcBorders/>
            <w:shd w:fill="CCEEFF" w:val="clear"/>
            <w:vAlign w:val="bottom"/>
          </w:tcPr>
          <w:p>
            <w:pPr>
              <w:pStyle w:val="TableContents"/>
              <w:bidi w:val="0"/>
              <w:spacing w:before="0" w:after="283"/>
              <w:jc w:val="left"/>
              <w:rPr/>
            </w:pPr>
            <w:r>
              <w:rPr/>
              <w:t> </w:t>
            </w:r>
          </w:p>
        </w:tc>
      </w:tr>
      <w:tr>
        <w:trPr/>
        <w:tc>
          <w:tcPr>
            <w:tcW w:w="7368" w:type="dxa"/>
            <w:tcBorders/>
          </w:tcPr>
          <w:p>
            <w:pPr>
              <w:pStyle w:val="TableContents"/>
              <w:bidi w:val="0"/>
              <w:spacing w:before="0" w:after="0"/>
              <w:jc w:val="left"/>
              <w:rPr>
                <w:rFonts w:ascii="Times New Roman" w:hAnsi="Times New Roman"/>
                <w:b/>
                <w:sz w:val="20"/>
              </w:rPr>
            </w:pPr>
            <w:r>
              <w:rPr>
                <w:rFonts w:ascii="Times New Roman" w:hAnsi="Times New Roman"/>
                <w:b/>
                <w:sz w:val="20"/>
              </w:rPr>
              <w:t>Interest income</w:t>
            </w:r>
          </w:p>
        </w:tc>
        <w:tc>
          <w:tcPr>
            <w:tcW w:w="233"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894" w:type="dxa"/>
            <w:tcBorders/>
            <w:vAlign w:val="bottom"/>
          </w:tcPr>
          <w:p>
            <w:pPr>
              <w:pStyle w:val="TableContents"/>
              <w:bidi w:val="0"/>
              <w:spacing w:before="0" w:after="283"/>
              <w:jc w:val="right"/>
              <w:rPr/>
            </w:pPr>
            <w:r>
              <w:rPr/>
              <w:t>1,672</w:t>
            </w:r>
          </w:p>
        </w:tc>
        <w:tc>
          <w:tcPr>
            <w:tcW w:w="155"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894" w:type="dxa"/>
            <w:tcBorders/>
            <w:vAlign w:val="bottom"/>
          </w:tcPr>
          <w:p>
            <w:pPr>
              <w:pStyle w:val="TableContents"/>
              <w:bidi w:val="0"/>
              <w:spacing w:before="0" w:after="283"/>
              <w:jc w:val="right"/>
              <w:rPr/>
            </w:pPr>
            <w:r>
              <w:rPr/>
              <w:t>1,997</w:t>
            </w:r>
          </w:p>
        </w:tc>
        <w:tc>
          <w:tcPr>
            <w:tcW w:w="159" w:type="dxa"/>
            <w:tcBorders/>
            <w:vAlign w:val="bottom"/>
          </w:tcPr>
          <w:p>
            <w:pPr>
              <w:pStyle w:val="TableContents"/>
              <w:bidi w:val="0"/>
              <w:spacing w:before="0" w:after="283"/>
              <w:jc w:val="left"/>
              <w:rPr/>
            </w:pPr>
            <w:r>
              <w:rPr/>
              <w:t> </w:t>
            </w:r>
          </w:p>
        </w:tc>
      </w:tr>
      <w:tr>
        <w:trPr/>
        <w:tc>
          <w:tcPr>
            <w:tcW w:w="736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Interest expense</w:t>
            </w:r>
          </w:p>
        </w:tc>
        <w:tc>
          <w:tcPr>
            <w:tcW w:w="233"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894" w:type="dxa"/>
            <w:tcBorders/>
            <w:shd w:fill="CCEEFF" w:val="clear"/>
            <w:vAlign w:val="bottom"/>
          </w:tcPr>
          <w:p>
            <w:pPr>
              <w:pStyle w:val="TableContents"/>
              <w:bidi w:val="0"/>
              <w:spacing w:before="0" w:after="283"/>
              <w:jc w:val="right"/>
              <w:rPr/>
            </w:pPr>
            <w:r>
              <w:rPr/>
              <w:t>(38,301</w:t>
            </w:r>
          </w:p>
        </w:tc>
        <w:tc>
          <w:tcPr>
            <w:tcW w:w="155"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894" w:type="dxa"/>
            <w:tcBorders/>
            <w:shd w:fill="CCEEFF" w:val="clear"/>
            <w:vAlign w:val="bottom"/>
          </w:tcPr>
          <w:p>
            <w:pPr>
              <w:pStyle w:val="TableContents"/>
              <w:bidi w:val="0"/>
              <w:spacing w:before="0" w:after="283"/>
              <w:jc w:val="right"/>
              <w:rPr/>
            </w:pPr>
            <w:r>
              <w:rPr/>
              <w:t>(42,441</w:t>
            </w:r>
          </w:p>
        </w:tc>
        <w:tc>
          <w:tcPr>
            <w:tcW w:w="159" w:type="dxa"/>
            <w:tcBorders/>
            <w:shd w:fill="CCEEFF" w:val="clear"/>
            <w:vAlign w:val="bottom"/>
          </w:tcPr>
          <w:p>
            <w:pPr>
              <w:pStyle w:val="TableContents"/>
              <w:bidi w:val="0"/>
              <w:spacing w:before="0" w:after="283"/>
              <w:jc w:val="left"/>
              <w:rPr/>
            </w:pPr>
            <w:r>
              <w:rPr/>
              <w:t>) </w:t>
            </w:r>
          </w:p>
        </w:tc>
      </w:tr>
      <w:tr>
        <w:trPr/>
        <w:tc>
          <w:tcPr>
            <w:tcW w:w="7368" w:type="dxa"/>
            <w:tcBorders/>
            <w:vAlign w:val="bottom"/>
          </w:tcPr>
          <w:p>
            <w:pPr>
              <w:pStyle w:val="TableContents"/>
              <w:bidi w:val="0"/>
              <w:spacing w:before="0" w:after="283"/>
              <w:jc w:val="left"/>
              <w:rPr>
                <w:sz w:val="4"/>
                <w:szCs w:val="4"/>
              </w:rPr>
            </w:pPr>
            <w:r>
              <w:rPr>
                <w:sz w:val="4"/>
                <w:szCs w:val="4"/>
              </w:rPr>
            </w:r>
          </w:p>
        </w:tc>
        <w:tc>
          <w:tcPr>
            <w:tcW w:w="233"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single" w:sz="2" w:space="1" w:color="000000"/>
              </w:pBdr>
              <w:bidi w:val="0"/>
              <w:spacing w:before="0" w:after="0"/>
              <w:jc w:val="left"/>
              <w:rPr/>
            </w:pPr>
            <w:r>
              <w:rPr/>
              <w:t> </w:t>
            </w:r>
          </w:p>
        </w:tc>
        <w:tc>
          <w:tcPr>
            <w:tcW w:w="8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single" w:sz="2" w:space="1" w:color="000000"/>
              </w:pBdr>
              <w:bidi w:val="0"/>
              <w:spacing w:before="0" w:after="0"/>
              <w:jc w:val="left"/>
              <w:rPr/>
            </w:pPr>
            <w:r>
              <w:rPr/>
              <w:t> </w:t>
            </w:r>
          </w:p>
        </w:tc>
        <w:tc>
          <w:tcPr>
            <w:tcW w:w="894"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368"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Income before income taxes and equity in earnings of affiliates</w:t>
            </w:r>
          </w:p>
        </w:tc>
        <w:tc>
          <w:tcPr>
            <w:tcW w:w="233"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894" w:type="dxa"/>
            <w:tcBorders/>
            <w:vAlign w:val="bottom"/>
          </w:tcPr>
          <w:p>
            <w:pPr>
              <w:pStyle w:val="TableContents"/>
              <w:bidi w:val="0"/>
              <w:spacing w:before="0" w:after="283"/>
              <w:jc w:val="right"/>
              <w:rPr>
                <w:b/>
              </w:rPr>
            </w:pPr>
            <w:r>
              <w:rPr>
                <w:b/>
              </w:rPr>
              <w:t>52,670</w:t>
            </w:r>
          </w:p>
        </w:tc>
        <w:tc>
          <w:tcPr>
            <w:tcW w:w="155"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894" w:type="dxa"/>
            <w:tcBorders/>
            <w:vAlign w:val="bottom"/>
          </w:tcPr>
          <w:p>
            <w:pPr>
              <w:pStyle w:val="TableContents"/>
              <w:bidi w:val="0"/>
              <w:spacing w:before="0" w:after="283"/>
              <w:jc w:val="right"/>
              <w:rPr>
                <w:b/>
              </w:rPr>
            </w:pPr>
            <w:r>
              <w:rPr>
                <w:b/>
              </w:rPr>
              <w:t>20,540</w:t>
            </w:r>
          </w:p>
        </w:tc>
        <w:tc>
          <w:tcPr>
            <w:tcW w:w="159" w:type="dxa"/>
            <w:tcBorders/>
            <w:vAlign w:val="bottom"/>
          </w:tcPr>
          <w:p>
            <w:pPr>
              <w:pStyle w:val="TableContents"/>
              <w:bidi w:val="0"/>
              <w:spacing w:before="0" w:after="283"/>
              <w:jc w:val="left"/>
              <w:rPr/>
            </w:pPr>
            <w:r>
              <w:rPr/>
              <w:t> </w:t>
            </w:r>
          </w:p>
        </w:tc>
      </w:tr>
      <w:tr>
        <w:trPr/>
        <w:tc>
          <w:tcPr>
            <w:tcW w:w="736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Provision for income taxes</w:t>
            </w:r>
          </w:p>
        </w:tc>
        <w:tc>
          <w:tcPr>
            <w:tcW w:w="233"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894" w:type="dxa"/>
            <w:tcBorders/>
            <w:shd w:fill="CCEEFF" w:val="clear"/>
            <w:vAlign w:val="bottom"/>
          </w:tcPr>
          <w:p>
            <w:pPr>
              <w:pStyle w:val="TableContents"/>
              <w:bidi w:val="0"/>
              <w:spacing w:before="0" w:after="283"/>
              <w:jc w:val="right"/>
              <w:rPr/>
            </w:pPr>
            <w:r>
              <w:rPr/>
              <w:t>15,026</w:t>
            </w:r>
          </w:p>
        </w:tc>
        <w:tc>
          <w:tcPr>
            <w:tcW w:w="155"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894" w:type="dxa"/>
            <w:tcBorders/>
            <w:shd w:fill="CCEEFF" w:val="clear"/>
            <w:vAlign w:val="bottom"/>
          </w:tcPr>
          <w:p>
            <w:pPr>
              <w:pStyle w:val="TableContents"/>
              <w:bidi w:val="0"/>
              <w:spacing w:before="0" w:after="283"/>
              <w:jc w:val="right"/>
              <w:rPr/>
            </w:pPr>
            <w:r>
              <w:rPr/>
              <w:t>1,826</w:t>
            </w:r>
          </w:p>
        </w:tc>
        <w:tc>
          <w:tcPr>
            <w:tcW w:w="159" w:type="dxa"/>
            <w:tcBorders/>
            <w:shd w:fill="CCEEFF" w:val="clear"/>
            <w:vAlign w:val="bottom"/>
          </w:tcPr>
          <w:p>
            <w:pPr>
              <w:pStyle w:val="TableContents"/>
              <w:bidi w:val="0"/>
              <w:spacing w:before="0" w:after="283"/>
              <w:jc w:val="left"/>
              <w:rPr/>
            </w:pPr>
            <w:r>
              <w:rPr/>
              <w:t> </w:t>
            </w:r>
          </w:p>
        </w:tc>
      </w:tr>
      <w:tr>
        <w:trPr/>
        <w:tc>
          <w:tcPr>
            <w:tcW w:w="7368" w:type="dxa"/>
            <w:tcBorders/>
          </w:tcPr>
          <w:p>
            <w:pPr>
              <w:pStyle w:val="TableContents"/>
              <w:bidi w:val="0"/>
              <w:spacing w:before="0" w:after="0"/>
              <w:jc w:val="left"/>
              <w:rPr>
                <w:rFonts w:ascii="Times New Roman" w:hAnsi="Times New Roman"/>
                <w:b/>
                <w:sz w:val="20"/>
              </w:rPr>
            </w:pPr>
            <w:r>
              <w:rPr>
                <w:rFonts w:ascii="Times New Roman" w:hAnsi="Times New Roman"/>
                <w:b/>
                <w:sz w:val="20"/>
              </w:rPr>
              <w:t>Equity in earnings of affiliates, net of income tax provision</w:t>
            </w:r>
          </w:p>
        </w:tc>
        <w:tc>
          <w:tcPr>
            <w:tcW w:w="233"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894" w:type="dxa"/>
            <w:tcBorders/>
            <w:vAlign w:val="bottom"/>
          </w:tcPr>
          <w:p>
            <w:pPr>
              <w:pStyle w:val="TableContents"/>
              <w:bidi w:val="0"/>
              <w:spacing w:before="0" w:after="283"/>
              <w:jc w:val="right"/>
              <w:rPr/>
            </w:pPr>
            <w:r>
              <w:rPr/>
              <w:t>662</w:t>
            </w:r>
          </w:p>
        </w:tc>
        <w:tc>
          <w:tcPr>
            <w:tcW w:w="155"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894" w:type="dxa"/>
            <w:tcBorders/>
            <w:vAlign w:val="bottom"/>
          </w:tcPr>
          <w:p>
            <w:pPr>
              <w:pStyle w:val="TableContents"/>
              <w:bidi w:val="0"/>
              <w:spacing w:before="0" w:after="283"/>
              <w:jc w:val="right"/>
              <w:rPr/>
            </w:pPr>
            <w:r>
              <w:rPr/>
              <w:t>828</w:t>
            </w:r>
          </w:p>
        </w:tc>
        <w:tc>
          <w:tcPr>
            <w:tcW w:w="159" w:type="dxa"/>
            <w:tcBorders/>
            <w:vAlign w:val="bottom"/>
          </w:tcPr>
          <w:p>
            <w:pPr>
              <w:pStyle w:val="TableContents"/>
              <w:bidi w:val="0"/>
              <w:spacing w:before="0" w:after="283"/>
              <w:jc w:val="left"/>
              <w:rPr/>
            </w:pPr>
            <w:r>
              <w:rPr/>
              <w:t> </w:t>
            </w:r>
          </w:p>
        </w:tc>
      </w:tr>
      <w:tr>
        <w:trPr/>
        <w:tc>
          <w:tcPr>
            <w:tcW w:w="7368" w:type="dxa"/>
            <w:tcBorders/>
            <w:vAlign w:val="bottom"/>
          </w:tcPr>
          <w:p>
            <w:pPr>
              <w:pStyle w:val="TableContents"/>
              <w:bidi w:val="0"/>
              <w:spacing w:before="0" w:after="283"/>
              <w:jc w:val="left"/>
              <w:rPr>
                <w:sz w:val="4"/>
                <w:szCs w:val="4"/>
              </w:rPr>
            </w:pPr>
            <w:r>
              <w:rPr>
                <w:sz w:val="4"/>
                <w:szCs w:val="4"/>
              </w:rPr>
            </w:r>
          </w:p>
        </w:tc>
        <w:tc>
          <w:tcPr>
            <w:tcW w:w="233"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single" w:sz="2" w:space="1" w:color="000000"/>
              </w:pBdr>
              <w:bidi w:val="0"/>
              <w:spacing w:before="0" w:after="0"/>
              <w:jc w:val="left"/>
              <w:rPr/>
            </w:pPr>
            <w:r>
              <w:rPr/>
              <w:t> </w:t>
            </w:r>
          </w:p>
        </w:tc>
        <w:tc>
          <w:tcPr>
            <w:tcW w:w="8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single" w:sz="2" w:space="1" w:color="000000"/>
              </w:pBdr>
              <w:bidi w:val="0"/>
              <w:spacing w:before="0" w:after="0"/>
              <w:jc w:val="left"/>
              <w:rPr/>
            </w:pPr>
            <w:r>
              <w:rPr/>
              <w:t> </w:t>
            </w:r>
          </w:p>
        </w:tc>
        <w:tc>
          <w:tcPr>
            <w:tcW w:w="894"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368" w:type="dxa"/>
            <w:tcBorders/>
            <w:shd w:fill="CCEEFF" w:val="clear"/>
          </w:tcPr>
          <w:p>
            <w:pPr>
              <w:pStyle w:val="TableContents"/>
              <w:bidi w:val="0"/>
              <w:spacing w:before="0" w:after="0"/>
              <w:jc w:val="left"/>
              <w:rPr>
                <w:rFonts w:ascii="Times New Roman" w:hAnsi="Times New Roman"/>
                <w:b/>
                <w:i/>
                <w:sz w:val="20"/>
              </w:rPr>
            </w:pPr>
            <w:r>
              <w:rPr>
                <w:rFonts w:ascii="Times New Roman" w:hAnsi="Times New Roman"/>
                <w:b/>
                <w:i/>
                <w:sz w:val="20"/>
              </w:rPr>
              <w:t>Net income</w:t>
            </w:r>
          </w:p>
        </w:tc>
        <w:tc>
          <w:tcPr>
            <w:tcW w:w="233"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894" w:type="dxa"/>
            <w:tcBorders/>
            <w:shd w:fill="CCEEFF" w:val="clear"/>
            <w:vAlign w:val="bottom"/>
          </w:tcPr>
          <w:p>
            <w:pPr>
              <w:pStyle w:val="TableContents"/>
              <w:bidi w:val="0"/>
              <w:spacing w:before="0" w:after="283"/>
              <w:jc w:val="right"/>
              <w:rPr>
                <w:b/>
              </w:rPr>
            </w:pPr>
            <w:r>
              <w:rPr>
                <w:b/>
              </w:rPr>
              <w:t>38,306</w:t>
            </w:r>
          </w:p>
        </w:tc>
        <w:tc>
          <w:tcPr>
            <w:tcW w:w="155"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894" w:type="dxa"/>
            <w:tcBorders/>
            <w:shd w:fill="CCEEFF" w:val="clear"/>
            <w:vAlign w:val="bottom"/>
          </w:tcPr>
          <w:p>
            <w:pPr>
              <w:pStyle w:val="TableContents"/>
              <w:bidi w:val="0"/>
              <w:spacing w:before="0" w:after="283"/>
              <w:jc w:val="right"/>
              <w:rPr>
                <w:b/>
              </w:rPr>
            </w:pPr>
            <w:r>
              <w:rPr>
                <w:b/>
              </w:rPr>
              <w:t>19,542</w:t>
            </w:r>
          </w:p>
        </w:tc>
        <w:tc>
          <w:tcPr>
            <w:tcW w:w="159" w:type="dxa"/>
            <w:tcBorders/>
            <w:shd w:fill="CCEEFF" w:val="clear"/>
            <w:vAlign w:val="bottom"/>
          </w:tcPr>
          <w:p>
            <w:pPr>
              <w:pStyle w:val="TableContents"/>
              <w:bidi w:val="0"/>
              <w:spacing w:before="0" w:after="283"/>
              <w:jc w:val="left"/>
              <w:rPr/>
            </w:pPr>
            <w:r>
              <w:rPr/>
              <w:t> </w:t>
            </w:r>
          </w:p>
        </w:tc>
      </w:tr>
      <w:tr>
        <w:trPr/>
        <w:tc>
          <w:tcPr>
            <w:tcW w:w="7368" w:type="dxa"/>
            <w:tcBorders/>
          </w:tcPr>
          <w:p>
            <w:pPr>
              <w:pStyle w:val="TableContents"/>
              <w:bidi w:val="0"/>
              <w:spacing w:before="0" w:after="0"/>
              <w:jc w:val="left"/>
              <w:rPr>
                <w:rFonts w:ascii="Times New Roman" w:hAnsi="Times New Roman"/>
                <w:b/>
                <w:sz w:val="20"/>
              </w:rPr>
            </w:pPr>
            <w:r>
              <w:rPr>
                <w:rFonts w:ascii="Times New Roman" w:hAnsi="Times New Roman"/>
                <w:b/>
                <w:sz w:val="20"/>
              </w:rPr>
              <w:t>Less: Net loss attributable to noncontrolling interests</w:t>
            </w:r>
          </w:p>
        </w:tc>
        <w:tc>
          <w:tcPr>
            <w:tcW w:w="233"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894" w:type="dxa"/>
            <w:tcBorders/>
            <w:vAlign w:val="bottom"/>
          </w:tcPr>
          <w:p>
            <w:pPr>
              <w:pStyle w:val="TableContents"/>
              <w:bidi w:val="0"/>
              <w:spacing w:before="0" w:after="283"/>
              <w:jc w:val="right"/>
              <w:rPr/>
            </w:pPr>
            <w:r>
              <w:rPr/>
              <w:t>28</w:t>
            </w:r>
          </w:p>
        </w:tc>
        <w:tc>
          <w:tcPr>
            <w:tcW w:w="155"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894" w:type="dxa"/>
            <w:tcBorders/>
            <w:vAlign w:val="bottom"/>
          </w:tcPr>
          <w:p>
            <w:pPr>
              <w:pStyle w:val="TableContents"/>
              <w:bidi w:val="0"/>
              <w:spacing w:before="0" w:after="283"/>
              <w:jc w:val="right"/>
              <w:rPr/>
            </w:pPr>
            <w:r>
              <w:rPr/>
              <w:t>16</w:t>
            </w:r>
          </w:p>
        </w:tc>
        <w:tc>
          <w:tcPr>
            <w:tcW w:w="159" w:type="dxa"/>
            <w:tcBorders/>
            <w:vAlign w:val="bottom"/>
          </w:tcPr>
          <w:p>
            <w:pPr>
              <w:pStyle w:val="TableContents"/>
              <w:bidi w:val="0"/>
              <w:spacing w:before="0" w:after="283"/>
              <w:jc w:val="left"/>
              <w:rPr/>
            </w:pPr>
            <w:r>
              <w:rPr/>
              <w:t> </w:t>
            </w:r>
          </w:p>
        </w:tc>
      </w:tr>
      <w:tr>
        <w:trPr/>
        <w:tc>
          <w:tcPr>
            <w:tcW w:w="7368" w:type="dxa"/>
            <w:tcBorders/>
            <w:vAlign w:val="bottom"/>
          </w:tcPr>
          <w:p>
            <w:pPr>
              <w:pStyle w:val="TableContents"/>
              <w:bidi w:val="0"/>
              <w:spacing w:before="0" w:after="283"/>
              <w:jc w:val="left"/>
              <w:rPr>
                <w:sz w:val="4"/>
                <w:szCs w:val="4"/>
              </w:rPr>
            </w:pPr>
            <w:r>
              <w:rPr>
                <w:sz w:val="4"/>
                <w:szCs w:val="4"/>
              </w:rPr>
            </w:r>
          </w:p>
        </w:tc>
        <w:tc>
          <w:tcPr>
            <w:tcW w:w="233"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single" w:sz="2" w:space="1" w:color="000000"/>
              </w:pBdr>
              <w:bidi w:val="0"/>
              <w:spacing w:before="0" w:after="0"/>
              <w:jc w:val="left"/>
              <w:rPr/>
            </w:pPr>
            <w:r>
              <w:rPr/>
              <w:t> </w:t>
            </w:r>
          </w:p>
        </w:tc>
        <w:tc>
          <w:tcPr>
            <w:tcW w:w="8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single" w:sz="2" w:space="1" w:color="000000"/>
              </w:pBdr>
              <w:bidi w:val="0"/>
              <w:spacing w:before="0" w:after="0"/>
              <w:jc w:val="left"/>
              <w:rPr/>
            </w:pPr>
            <w:r>
              <w:rPr/>
              <w:t> </w:t>
            </w:r>
          </w:p>
        </w:tc>
        <w:tc>
          <w:tcPr>
            <w:tcW w:w="894"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368" w:type="dxa"/>
            <w:tcBorders/>
            <w:shd w:fill="CCEEFF" w:val="clear"/>
          </w:tcPr>
          <w:p>
            <w:pPr>
              <w:pStyle w:val="TableContents"/>
              <w:bidi w:val="0"/>
              <w:spacing w:before="0" w:after="0"/>
              <w:jc w:val="left"/>
              <w:rPr>
                <w:rFonts w:ascii="Times New Roman" w:hAnsi="Times New Roman"/>
                <w:b/>
                <w:i/>
                <w:sz w:val="20"/>
              </w:rPr>
            </w:pPr>
            <w:r>
              <w:rPr>
                <w:rFonts w:ascii="Times New Roman" w:hAnsi="Times New Roman"/>
                <w:b/>
                <w:i/>
                <w:sz w:val="20"/>
              </w:rPr>
              <w:t>Net Income Attributable to The GEO Group, Inc. Operations</w:t>
            </w:r>
          </w:p>
        </w:tc>
        <w:tc>
          <w:tcPr>
            <w:tcW w:w="233"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b/>
              </w:rPr>
            </w:pPr>
            <w:r>
              <w:rPr>
                <w:b/>
              </w:rPr>
              <w:t>$</w:t>
            </w:r>
          </w:p>
        </w:tc>
        <w:tc>
          <w:tcPr>
            <w:tcW w:w="894" w:type="dxa"/>
            <w:tcBorders/>
            <w:shd w:fill="CCEEFF" w:val="clear"/>
            <w:vAlign w:val="bottom"/>
          </w:tcPr>
          <w:p>
            <w:pPr>
              <w:pStyle w:val="TableContents"/>
              <w:bidi w:val="0"/>
              <w:spacing w:before="0" w:after="283"/>
              <w:jc w:val="right"/>
              <w:rPr>
                <w:b/>
              </w:rPr>
            </w:pPr>
            <w:r>
              <w:rPr>
                <w:b/>
              </w:rPr>
              <w:t>38,334</w:t>
            </w:r>
          </w:p>
        </w:tc>
        <w:tc>
          <w:tcPr>
            <w:tcW w:w="155"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b/>
              </w:rPr>
            </w:pPr>
            <w:r>
              <w:rPr>
                <w:b/>
              </w:rPr>
              <w:t>$</w:t>
            </w:r>
          </w:p>
        </w:tc>
        <w:tc>
          <w:tcPr>
            <w:tcW w:w="894" w:type="dxa"/>
            <w:tcBorders/>
            <w:shd w:fill="CCEEFF" w:val="clear"/>
            <w:vAlign w:val="bottom"/>
          </w:tcPr>
          <w:p>
            <w:pPr>
              <w:pStyle w:val="TableContents"/>
              <w:bidi w:val="0"/>
              <w:spacing w:before="0" w:after="283"/>
              <w:jc w:val="right"/>
              <w:rPr>
                <w:b/>
              </w:rPr>
            </w:pPr>
            <w:r>
              <w:rPr>
                <w:b/>
              </w:rPr>
              <w:t>19,558</w:t>
            </w:r>
          </w:p>
        </w:tc>
        <w:tc>
          <w:tcPr>
            <w:tcW w:w="159" w:type="dxa"/>
            <w:tcBorders/>
            <w:shd w:fill="CCEEFF" w:val="clear"/>
            <w:vAlign w:val="bottom"/>
          </w:tcPr>
          <w:p>
            <w:pPr>
              <w:pStyle w:val="TableContents"/>
              <w:bidi w:val="0"/>
              <w:spacing w:before="0" w:after="283"/>
              <w:jc w:val="left"/>
              <w:rPr/>
            </w:pPr>
            <w:r>
              <w:rPr/>
              <w:t> </w:t>
            </w:r>
          </w:p>
        </w:tc>
      </w:tr>
      <w:tr>
        <w:trPr/>
        <w:tc>
          <w:tcPr>
            <w:tcW w:w="7368" w:type="dxa"/>
            <w:tcBorders/>
            <w:vAlign w:val="bottom"/>
          </w:tcPr>
          <w:p>
            <w:pPr>
              <w:pStyle w:val="TableContents"/>
              <w:bidi w:val="0"/>
              <w:spacing w:before="0" w:after="283"/>
              <w:jc w:val="left"/>
              <w:rPr>
                <w:sz w:val="4"/>
                <w:szCs w:val="4"/>
              </w:rPr>
            </w:pPr>
            <w:r>
              <w:rPr>
                <w:sz w:val="4"/>
                <w:szCs w:val="4"/>
              </w:rPr>
            </w:r>
          </w:p>
        </w:tc>
        <w:tc>
          <w:tcPr>
            <w:tcW w:w="233"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double" w:sz="6" w:space="1" w:color="000000"/>
              </w:pBdr>
              <w:bidi w:val="0"/>
              <w:spacing w:before="0" w:after="0"/>
              <w:jc w:val="left"/>
              <w:rPr/>
            </w:pPr>
            <w:r>
              <w:rPr/>
              <w:t> </w:t>
            </w:r>
          </w:p>
        </w:tc>
        <w:tc>
          <w:tcPr>
            <w:tcW w:w="89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double" w:sz="6" w:space="1" w:color="000000"/>
              </w:pBdr>
              <w:bidi w:val="0"/>
              <w:spacing w:before="0" w:after="0"/>
              <w:jc w:val="left"/>
              <w:rPr/>
            </w:pPr>
            <w:r>
              <w:rPr/>
              <w:t> </w:t>
            </w:r>
          </w:p>
        </w:tc>
        <w:tc>
          <w:tcPr>
            <w:tcW w:w="894"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368"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Weighted Average Common Shares Outstanding:</w:t>
            </w:r>
          </w:p>
        </w:tc>
        <w:tc>
          <w:tcPr>
            <w:tcW w:w="233"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sz w:val="4"/>
                <w:szCs w:val="4"/>
              </w:rPr>
            </w:pPr>
            <w:r>
              <w:rPr>
                <w:sz w:val="4"/>
                <w:szCs w:val="4"/>
              </w:rPr>
            </w:r>
          </w:p>
        </w:tc>
        <w:tc>
          <w:tcPr>
            <w:tcW w:w="89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94"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sz w:val="4"/>
                <w:szCs w:val="4"/>
              </w:rPr>
            </w:pPr>
            <w:r>
              <w:rPr>
                <w:sz w:val="4"/>
                <w:szCs w:val="4"/>
              </w:rPr>
            </w:r>
          </w:p>
        </w:tc>
        <w:tc>
          <w:tcPr>
            <w:tcW w:w="894"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73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Basic</w:t>
            </w:r>
          </w:p>
        </w:tc>
        <w:tc>
          <w:tcPr>
            <w:tcW w:w="233"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894" w:type="dxa"/>
            <w:tcBorders/>
            <w:shd w:fill="CCEEFF" w:val="clear"/>
            <w:vAlign w:val="bottom"/>
          </w:tcPr>
          <w:p>
            <w:pPr>
              <w:pStyle w:val="TableContents"/>
              <w:bidi w:val="0"/>
              <w:spacing w:before="0" w:after="283"/>
              <w:jc w:val="right"/>
              <w:rPr/>
            </w:pPr>
            <w:r>
              <w:rPr/>
              <w:t>132,612</w:t>
            </w:r>
          </w:p>
        </w:tc>
        <w:tc>
          <w:tcPr>
            <w:tcW w:w="155"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894" w:type="dxa"/>
            <w:tcBorders/>
            <w:shd w:fill="CCEEFF" w:val="clear"/>
            <w:vAlign w:val="bottom"/>
          </w:tcPr>
          <w:p>
            <w:pPr>
              <w:pStyle w:val="TableContents"/>
              <w:bidi w:val="0"/>
              <w:spacing w:before="0" w:after="283"/>
              <w:jc w:val="right"/>
              <w:rPr/>
            </w:pPr>
            <w:r>
              <w:rPr/>
              <w:t>137,143</w:t>
            </w:r>
          </w:p>
        </w:tc>
        <w:tc>
          <w:tcPr>
            <w:tcW w:w="159" w:type="dxa"/>
            <w:tcBorders/>
            <w:shd w:fill="CCEEFF" w:val="clear"/>
            <w:vAlign w:val="bottom"/>
          </w:tcPr>
          <w:p>
            <w:pPr>
              <w:pStyle w:val="TableContents"/>
              <w:bidi w:val="0"/>
              <w:spacing w:before="0" w:after="283"/>
              <w:jc w:val="left"/>
              <w:rPr/>
            </w:pPr>
            <w:r>
              <w:rPr/>
              <w:t> </w:t>
            </w:r>
          </w:p>
        </w:tc>
      </w:tr>
      <w:tr>
        <w:trPr/>
        <w:tc>
          <w:tcPr>
            <w:tcW w:w="7368" w:type="dxa"/>
            <w:tcBorders/>
          </w:tcPr>
          <w:p>
            <w:pPr>
              <w:pStyle w:val="TableContents"/>
              <w:bidi w:val="0"/>
              <w:spacing w:before="0" w:after="0"/>
              <w:jc w:val="left"/>
              <w:rPr>
                <w:rFonts w:ascii="Times New Roman" w:hAnsi="Times New Roman"/>
                <w:sz w:val="20"/>
              </w:rPr>
            </w:pPr>
            <w:r>
              <w:rPr>
                <w:rFonts w:ascii="Times New Roman" w:hAnsi="Times New Roman"/>
                <w:sz w:val="20"/>
              </w:rPr>
              <w:t>Diluted</w:t>
            </w:r>
          </w:p>
        </w:tc>
        <w:tc>
          <w:tcPr>
            <w:tcW w:w="233"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894" w:type="dxa"/>
            <w:tcBorders/>
            <w:vAlign w:val="bottom"/>
          </w:tcPr>
          <w:p>
            <w:pPr>
              <w:pStyle w:val="TableContents"/>
              <w:bidi w:val="0"/>
              <w:spacing w:before="0" w:after="283"/>
              <w:jc w:val="right"/>
              <w:rPr/>
            </w:pPr>
            <w:r>
              <w:rPr/>
              <w:t>134,055</w:t>
            </w:r>
          </w:p>
        </w:tc>
        <w:tc>
          <w:tcPr>
            <w:tcW w:w="155"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894" w:type="dxa"/>
            <w:tcBorders/>
            <w:vAlign w:val="bottom"/>
          </w:tcPr>
          <w:p>
            <w:pPr>
              <w:pStyle w:val="TableContents"/>
              <w:bidi w:val="0"/>
              <w:spacing w:before="0" w:after="283"/>
              <w:jc w:val="right"/>
              <w:rPr/>
            </w:pPr>
            <w:r>
              <w:rPr/>
              <w:t>140,915</w:t>
            </w:r>
          </w:p>
        </w:tc>
        <w:tc>
          <w:tcPr>
            <w:tcW w:w="159" w:type="dxa"/>
            <w:tcBorders/>
            <w:vAlign w:val="bottom"/>
          </w:tcPr>
          <w:p>
            <w:pPr>
              <w:pStyle w:val="TableContents"/>
              <w:bidi w:val="0"/>
              <w:spacing w:before="0" w:after="283"/>
              <w:jc w:val="left"/>
              <w:rPr/>
            </w:pPr>
            <w:r>
              <w:rPr/>
              <w:t> </w:t>
            </w:r>
          </w:p>
        </w:tc>
      </w:tr>
      <w:tr>
        <w:trPr/>
        <w:tc>
          <w:tcPr>
            <w:tcW w:w="7368" w:type="dxa"/>
            <w:tcBorders/>
            <w:shd w:fill="CCEEFF" w:val="clear"/>
          </w:tcPr>
          <w:p>
            <w:pPr>
              <w:pStyle w:val="TableContents"/>
              <w:bidi w:val="0"/>
              <w:spacing w:before="0" w:after="0"/>
              <w:jc w:val="left"/>
              <w:rPr>
                <w:rFonts w:ascii="Times New Roman" w:hAnsi="Times New Roman"/>
                <w:b/>
                <w:i/>
                <w:sz w:val="20"/>
              </w:rPr>
            </w:pPr>
            <w:r>
              <w:rPr>
                <w:rFonts w:ascii="Times New Roman" w:hAnsi="Times New Roman"/>
                <w:b/>
                <w:i/>
                <w:sz w:val="20"/>
              </w:rPr>
              <w:t>Net Income per Common Share Attributable to The GEO Group, Inc. Operations</w:t>
            </w:r>
          </w:p>
        </w:tc>
        <w:tc>
          <w:tcPr>
            <w:tcW w:w="233"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sz w:val="4"/>
                <w:szCs w:val="4"/>
              </w:rPr>
            </w:pPr>
            <w:r>
              <w:rPr>
                <w:sz w:val="4"/>
                <w:szCs w:val="4"/>
              </w:rPr>
            </w:r>
          </w:p>
        </w:tc>
        <w:tc>
          <w:tcPr>
            <w:tcW w:w="89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94"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sz w:val="4"/>
                <w:szCs w:val="4"/>
              </w:rPr>
            </w:pPr>
            <w:r>
              <w:rPr>
                <w:sz w:val="4"/>
                <w:szCs w:val="4"/>
              </w:rPr>
            </w:r>
          </w:p>
        </w:tc>
        <w:tc>
          <w:tcPr>
            <w:tcW w:w="894"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7368"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Basic:</w:t>
            </w:r>
          </w:p>
        </w:tc>
        <w:tc>
          <w:tcPr>
            <w:tcW w:w="233"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sz w:val="4"/>
                <w:szCs w:val="4"/>
              </w:rPr>
            </w:pPr>
            <w:r>
              <w:rPr>
                <w:sz w:val="4"/>
                <w:szCs w:val="4"/>
              </w:rPr>
            </w:r>
          </w:p>
        </w:tc>
        <w:tc>
          <w:tcPr>
            <w:tcW w:w="89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94"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sz w:val="4"/>
                <w:szCs w:val="4"/>
              </w:rPr>
            </w:pPr>
            <w:r>
              <w:rPr>
                <w:sz w:val="4"/>
                <w:szCs w:val="4"/>
              </w:rPr>
            </w:r>
          </w:p>
        </w:tc>
        <w:tc>
          <w:tcPr>
            <w:tcW w:w="894"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73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 per share — basic</w:t>
            </w:r>
          </w:p>
        </w:tc>
        <w:tc>
          <w:tcPr>
            <w:tcW w:w="233"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w:t>
            </w:r>
          </w:p>
        </w:tc>
        <w:tc>
          <w:tcPr>
            <w:tcW w:w="894" w:type="dxa"/>
            <w:tcBorders/>
            <w:shd w:fill="CCEEFF" w:val="clear"/>
            <w:vAlign w:val="bottom"/>
          </w:tcPr>
          <w:p>
            <w:pPr>
              <w:pStyle w:val="TableContents"/>
              <w:bidi w:val="0"/>
              <w:spacing w:before="0" w:after="283"/>
              <w:jc w:val="right"/>
              <w:rPr/>
            </w:pPr>
            <w:r>
              <w:rPr/>
              <w:t>0.29</w:t>
            </w:r>
          </w:p>
        </w:tc>
        <w:tc>
          <w:tcPr>
            <w:tcW w:w="155"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w:t>
            </w:r>
          </w:p>
        </w:tc>
        <w:tc>
          <w:tcPr>
            <w:tcW w:w="894" w:type="dxa"/>
            <w:tcBorders/>
            <w:shd w:fill="CCEEFF" w:val="clear"/>
            <w:vAlign w:val="bottom"/>
          </w:tcPr>
          <w:p>
            <w:pPr>
              <w:pStyle w:val="TableContents"/>
              <w:bidi w:val="0"/>
              <w:spacing w:before="0" w:after="283"/>
              <w:jc w:val="right"/>
              <w:rPr/>
            </w:pPr>
            <w:r>
              <w:rPr/>
              <w:t>0.14</w:t>
            </w:r>
          </w:p>
        </w:tc>
        <w:tc>
          <w:tcPr>
            <w:tcW w:w="159" w:type="dxa"/>
            <w:tcBorders/>
            <w:shd w:fill="CCEEFF" w:val="clear"/>
            <w:vAlign w:val="bottom"/>
          </w:tcPr>
          <w:p>
            <w:pPr>
              <w:pStyle w:val="TableContents"/>
              <w:bidi w:val="0"/>
              <w:spacing w:before="0" w:after="283"/>
              <w:jc w:val="left"/>
              <w:rPr/>
            </w:pPr>
            <w:r>
              <w:rPr/>
              <w:t> </w:t>
            </w:r>
          </w:p>
        </w:tc>
      </w:tr>
      <w:tr>
        <w:trPr/>
        <w:tc>
          <w:tcPr>
            <w:tcW w:w="7368" w:type="dxa"/>
            <w:tcBorders/>
            <w:vAlign w:val="bottom"/>
          </w:tcPr>
          <w:p>
            <w:pPr>
              <w:pStyle w:val="TableContents"/>
              <w:bidi w:val="0"/>
              <w:spacing w:before="0" w:after="283"/>
              <w:jc w:val="left"/>
              <w:rPr>
                <w:sz w:val="4"/>
                <w:szCs w:val="4"/>
              </w:rPr>
            </w:pPr>
            <w:r>
              <w:rPr>
                <w:sz w:val="4"/>
                <w:szCs w:val="4"/>
              </w:rPr>
            </w:r>
          </w:p>
        </w:tc>
        <w:tc>
          <w:tcPr>
            <w:tcW w:w="233"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double" w:sz="6" w:space="1" w:color="000000"/>
              </w:pBdr>
              <w:bidi w:val="0"/>
              <w:spacing w:before="0" w:after="0"/>
              <w:jc w:val="left"/>
              <w:rPr/>
            </w:pPr>
            <w:r>
              <w:rPr/>
              <w:t> </w:t>
            </w:r>
          </w:p>
        </w:tc>
        <w:tc>
          <w:tcPr>
            <w:tcW w:w="89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double" w:sz="6" w:space="1" w:color="000000"/>
              </w:pBdr>
              <w:bidi w:val="0"/>
              <w:spacing w:before="0" w:after="0"/>
              <w:jc w:val="left"/>
              <w:rPr/>
            </w:pPr>
            <w:r>
              <w:rPr/>
              <w:t> </w:t>
            </w:r>
          </w:p>
        </w:tc>
        <w:tc>
          <w:tcPr>
            <w:tcW w:w="894"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368"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Diluted:</w:t>
            </w:r>
          </w:p>
        </w:tc>
        <w:tc>
          <w:tcPr>
            <w:tcW w:w="233"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sz w:val="4"/>
                <w:szCs w:val="4"/>
              </w:rPr>
            </w:pPr>
            <w:r>
              <w:rPr>
                <w:sz w:val="4"/>
                <w:szCs w:val="4"/>
              </w:rPr>
            </w:r>
          </w:p>
        </w:tc>
        <w:tc>
          <w:tcPr>
            <w:tcW w:w="89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94"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sz w:val="4"/>
                <w:szCs w:val="4"/>
              </w:rPr>
            </w:pPr>
            <w:r>
              <w:rPr>
                <w:sz w:val="4"/>
                <w:szCs w:val="4"/>
              </w:rPr>
            </w:r>
          </w:p>
        </w:tc>
        <w:tc>
          <w:tcPr>
            <w:tcW w:w="894"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73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 per share — diluted</w:t>
            </w:r>
          </w:p>
        </w:tc>
        <w:tc>
          <w:tcPr>
            <w:tcW w:w="233"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w:t>
            </w:r>
          </w:p>
        </w:tc>
        <w:tc>
          <w:tcPr>
            <w:tcW w:w="894" w:type="dxa"/>
            <w:tcBorders/>
            <w:shd w:fill="CCEEFF" w:val="clear"/>
            <w:vAlign w:val="bottom"/>
          </w:tcPr>
          <w:p>
            <w:pPr>
              <w:pStyle w:val="TableContents"/>
              <w:bidi w:val="0"/>
              <w:spacing w:before="0" w:after="283"/>
              <w:jc w:val="right"/>
              <w:rPr/>
            </w:pPr>
            <w:r>
              <w:rPr/>
              <w:t>0.29</w:t>
            </w:r>
          </w:p>
        </w:tc>
        <w:tc>
          <w:tcPr>
            <w:tcW w:w="155"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w:t>
            </w:r>
          </w:p>
        </w:tc>
        <w:tc>
          <w:tcPr>
            <w:tcW w:w="894" w:type="dxa"/>
            <w:tcBorders/>
            <w:shd w:fill="CCEEFF" w:val="clear"/>
            <w:vAlign w:val="bottom"/>
          </w:tcPr>
          <w:p>
            <w:pPr>
              <w:pStyle w:val="TableContents"/>
              <w:bidi w:val="0"/>
              <w:spacing w:before="0" w:after="283"/>
              <w:jc w:val="right"/>
              <w:rPr/>
            </w:pPr>
            <w:r>
              <w:rPr/>
              <w:t>0.14</w:t>
            </w:r>
          </w:p>
        </w:tc>
        <w:tc>
          <w:tcPr>
            <w:tcW w:w="159" w:type="dxa"/>
            <w:tcBorders/>
            <w:shd w:fill="CCEEFF" w:val="clear"/>
            <w:vAlign w:val="bottom"/>
          </w:tcPr>
          <w:p>
            <w:pPr>
              <w:pStyle w:val="TableContents"/>
              <w:bidi w:val="0"/>
              <w:spacing w:before="0" w:after="283"/>
              <w:jc w:val="left"/>
              <w:rPr/>
            </w:pPr>
            <w:r>
              <w:rPr/>
              <w:t> </w:t>
            </w:r>
          </w:p>
        </w:tc>
      </w:tr>
      <w:tr>
        <w:trPr/>
        <w:tc>
          <w:tcPr>
            <w:tcW w:w="7368" w:type="dxa"/>
            <w:tcBorders/>
            <w:vAlign w:val="bottom"/>
          </w:tcPr>
          <w:p>
            <w:pPr>
              <w:pStyle w:val="TableContents"/>
              <w:bidi w:val="0"/>
              <w:spacing w:before="0" w:after="283"/>
              <w:jc w:val="left"/>
              <w:rPr>
                <w:sz w:val="4"/>
                <w:szCs w:val="4"/>
              </w:rPr>
            </w:pPr>
            <w:r>
              <w:rPr>
                <w:sz w:val="4"/>
                <w:szCs w:val="4"/>
              </w:rPr>
            </w:r>
          </w:p>
        </w:tc>
        <w:tc>
          <w:tcPr>
            <w:tcW w:w="233"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double" w:sz="6" w:space="1" w:color="000000"/>
              </w:pBdr>
              <w:bidi w:val="0"/>
              <w:spacing w:before="0" w:after="0"/>
              <w:jc w:val="left"/>
              <w:rPr/>
            </w:pPr>
            <w:r>
              <w:rPr/>
              <w:t> </w:t>
            </w:r>
          </w:p>
        </w:tc>
        <w:tc>
          <w:tcPr>
            <w:tcW w:w="89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double" w:sz="6" w:space="1" w:color="000000"/>
              </w:pBdr>
              <w:bidi w:val="0"/>
              <w:spacing w:before="0" w:after="0"/>
              <w:jc w:val="left"/>
              <w:rPr/>
            </w:pPr>
            <w:r>
              <w:rPr/>
              <w:t> </w:t>
            </w:r>
          </w:p>
        </w:tc>
        <w:tc>
          <w:tcPr>
            <w:tcW w:w="894"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figures in ‘000s, except per share data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97"/>
        <w:gridCol w:w="123"/>
        <w:gridCol w:w="3233"/>
        <w:gridCol w:w="123"/>
        <w:gridCol w:w="3129"/>
      </w:tblGrid>
      <w:tr>
        <w:trPr/>
        <w:tc>
          <w:tcPr>
            <w:tcW w:w="3597"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233"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129" w:type="dxa"/>
            <w:tcBorders/>
            <w:vAlign w:val="center"/>
          </w:tcPr>
          <w:p>
            <w:pPr>
              <w:pStyle w:val="TableContents"/>
              <w:bidi w:val="0"/>
              <w:spacing w:before="0" w:after="283"/>
              <w:jc w:val="left"/>
              <w:rPr>
                <w:sz w:val="4"/>
                <w:szCs w:val="4"/>
              </w:rPr>
            </w:pPr>
            <w:r>
              <w:rPr>
                <w:sz w:val="4"/>
                <w:szCs w:val="4"/>
              </w:rPr>
            </w:r>
          </w:p>
        </w:tc>
      </w:tr>
      <w:tr>
        <w:trPr/>
        <w:tc>
          <w:tcPr>
            <w:tcW w:w="3597"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233" w:type="dxa"/>
            <w:tcBorders/>
          </w:tcPr>
          <w:p>
            <w:pPr>
              <w:pStyle w:val="TableContents"/>
              <w:bidi w:val="0"/>
              <w:spacing w:before="0" w:after="283"/>
              <w:jc w:val="center"/>
              <w:rPr/>
            </w:pPr>
            <w:r>
              <w:rPr/>
              <w:t xml:space="preserve">— </w:t>
            </w:r>
            <w:r>
              <w:rPr>
                <w:b/>
              </w:rPr>
              <w:t>More —</w:t>
            </w:r>
          </w:p>
        </w:tc>
        <w:tc>
          <w:tcPr>
            <w:tcW w:w="123" w:type="dxa"/>
            <w:tcBorders/>
            <w:vAlign w:val="bottom"/>
          </w:tcPr>
          <w:p>
            <w:pPr>
              <w:pStyle w:val="TableContents"/>
              <w:bidi w:val="0"/>
              <w:spacing w:before="0" w:after="283"/>
              <w:jc w:val="left"/>
              <w:rPr/>
            </w:pPr>
            <w:r>
              <w:rPr/>
              <w:t>  </w:t>
            </w:r>
          </w:p>
        </w:tc>
        <w:tc>
          <w:tcPr>
            <w:tcW w:w="3129" w:type="dxa"/>
            <w:tcBorders/>
          </w:tcPr>
          <w:p>
            <w:pPr>
              <w:pStyle w:val="TableContents"/>
              <w:bidi w:val="0"/>
              <w:spacing w:before="0" w:after="283"/>
              <w:jc w:val="left"/>
              <w:rPr>
                <w:sz w:val="4"/>
                <w:szCs w:val="4"/>
              </w:rPr>
            </w:pPr>
            <w:r>
              <w:rPr>
                <w:sz w:val="4"/>
                <w:szCs w:val="4"/>
              </w:rPr>
            </w:r>
          </w:p>
        </w:tc>
      </w:tr>
      <w:tr>
        <w:trPr/>
        <w:tc>
          <w:tcPr>
            <w:tcW w:w="3597" w:type="dxa"/>
            <w:tcBorders/>
          </w:tcPr>
          <w:p>
            <w:pPr>
              <w:pStyle w:val="TableContents"/>
              <w:bidi w:val="0"/>
              <w:spacing w:before="0" w:after="283"/>
              <w:jc w:val="left"/>
              <w:rPr/>
            </w:pPr>
            <w:r>
              <w:rPr>
                <w:b/>
              </w:rPr>
              <w:t xml:space="preserve">Contact: </w:t>
            </w:r>
            <w:r>
              <w:rPr/>
              <w:t>Pablo E. Paez</w:t>
            </w:r>
          </w:p>
        </w:tc>
        <w:tc>
          <w:tcPr>
            <w:tcW w:w="123" w:type="dxa"/>
            <w:tcBorders/>
            <w:vAlign w:val="bottom"/>
          </w:tcPr>
          <w:p>
            <w:pPr>
              <w:pStyle w:val="TableContents"/>
              <w:bidi w:val="0"/>
              <w:spacing w:before="0" w:after="283"/>
              <w:jc w:val="left"/>
              <w:rPr/>
            </w:pPr>
            <w:r>
              <w:rPr/>
              <w:t>  </w:t>
            </w:r>
          </w:p>
        </w:tc>
        <w:tc>
          <w:tcPr>
            <w:tcW w:w="3233"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129" w:type="dxa"/>
            <w:tcBorders/>
          </w:tcPr>
          <w:p>
            <w:pPr>
              <w:pStyle w:val="TableContents"/>
              <w:bidi w:val="0"/>
              <w:spacing w:before="0" w:after="283"/>
              <w:jc w:val="left"/>
              <w:rPr/>
            </w:pPr>
            <w:r>
              <w:rPr/>
              <w:t>(866) 301 4436</w:t>
            </w:r>
          </w:p>
        </w:tc>
      </w:tr>
      <w:tr>
        <w:trPr/>
        <w:tc>
          <w:tcPr>
            <w:tcW w:w="6953"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Executive Vice President, Corporate Relations</w:t>
            </w:r>
          </w:p>
        </w:tc>
        <w:tc>
          <w:tcPr>
            <w:tcW w:w="123" w:type="dxa"/>
            <w:tcBorders/>
            <w:vAlign w:val="bottom"/>
          </w:tcPr>
          <w:p>
            <w:pPr>
              <w:pStyle w:val="TableContents"/>
              <w:bidi w:val="0"/>
              <w:spacing w:before="0" w:after="283"/>
              <w:jc w:val="left"/>
              <w:rPr/>
            </w:pPr>
            <w:r>
              <w:rPr/>
              <w:t>  </w:t>
            </w:r>
          </w:p>
        </w:tc>
        <w:tc>
          <w:tcPr>
            <w:tcW w:w="3129"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b/>
          <w:sz w:val="20"/>
        </w:rPr>
      </w:pPr>
      <w:r>
        <w:rPr>
          <w:rFonts w:ascii="Times New Roman" w:hAnsi="Times New Roman"/>
          <w:b/>
          <w:sz w:val="20"/>
        </w:rPr>
        <w:t xml:space="preserve">N E W S R E L E A S E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u w:val="single"/>
        </w:rPr>
        <w:t>Reconciliation of Net Income to EBITDA and Adjusted EBITDA,</w:t>
      </w:r>
      <w:r>
        <w:rPr>
          <w:rFonts w:ascii="Times New Roman" w:hAnsi="Times New Roman"/>
          <w:b/>
          <w:sz w:val="20"/>
        </w:rPr>
        <w:t xml:space="preserve"> </w:t>
      </w:r>
    </w:p>
    <w:p>
      <w:pPr>
        <w:pStyle w:val="TextBody"/>
        <w:bidi w:val="0"/>
        <w:spacing w:before="0" w:after="0"/>
        <w:jc w:val="left"/>
        <w:rPr>
          <w:rFonts w:ascii="Times New Roman" w:hAnsi="Times New Roman"/>
          <w:b/>
          <w:sz w:val="20"/>
        </w:rPr>
      </w:pPr>
      <w:r>
        <w:rPr>
          <w:rFonts w:ascii="Times New Roman" w:hAnsi="Times New Roman"/>
          <w:b/>
          <w:sz w:val="20"/>
          <w:u w:val="single"/>
        </w:rPr>
        <w:t>and Net Income Attributable to GEO Operations to Adjusted Net Income</w:t>
      </w:r>
      <w:r>
        <w:rPr>
          <w:rFonts w:ascii="Times New Roman" w:hAnsi="Times New Roman"/>
          <w:b/>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258"/>
        <w:gridCol w:w="145"/>
        <w:gridCol w:w="154"/>
        <w:gridCol w:w="891"/>
        <w:gridCol w:w="243"/>
        <w:gridCol w:w="223"/>
        <w:gridCol w:w="154"/>
        <w:gridCol w:w="891"/>
        <w:gridCol w:w="246"/>
      </w:tblGrid>
      <w:tr>
        <w:trPr/>
        <w:tc>
          <w:tcPr>
            <w:tcW w:w="7258" w:type="dxa"/>
            <w:tcBorders/>
            <w:vAlign w:val="center"/>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243" w:type="dxa"/>
            <w:tcBorders/>
            <w:vAlign w:val="bottom"/>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246" w:type="dxa"/>
            <w:tcBorders/>
            <w:vAlign w:val="bottom"/>
          </w:tcPr>
          <w:p>
            <w:pPr>
              <w:pStyle w:val="TableContents"/>
              <w:bidi w:val="0"/>
              <w:spacing w:before="0" w:after="283"/>
              <w:jc w:val="left"/>
              <w:rPr>
                <w:sz w:val="4"/>
                <w:szCs w:val="4"/>
              </w:rPr>
            </w:pPr>
            <w:r>
              <w:rPr>
                <w:sz w:val="4"/>
                <w:szCs w:val="4"/>
              </w:rPr>
            </w:r>
          </w:p>
        </w:tc>
      </w:tr>
      <w:tr>
        <w:trPr/>
        <w:tc>
          <w:tcPr>
            <w:tcW w:w="7258"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045" w:type="dxa"/>
            <w:gridSpan w:val="2"/>
            <w:tcBorders>
              <w:bottom w:val="single" w:sz="8" w:space="0" w:color="000000"/>
            </w:tcBorders>
            <w:tcMar>
              <w:bottom w:w="28" w:type="dxa"/>
            </w:tcMar>
            <w:vAlign w:val="bottom"/>
          </w:tcPr>
          <w:p>
            <w:pPr>
              <w:pStyle w:val="TableContents"/>
              <w:bidi w:val="0"/>
              <w:spacing w:before="0" w:after="283"/>
              <w:jc w:val="center"/>
              <w:rPr>
                <w:b/>
                <w:i/>
              </w:rPr>
            </w:pPr>
            <w:r>
              <w:rPr>
                <w:b/>
                <w:i/>
              </w:rPr>
              <w:t>Q1 2026</w:t>
            </w:r>
          </w:p>
        </w:tc>
        <w:tc>
          <w:tcPr>
            <w:tcW w:w="243"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045" w:type="dxa"/>
            <w:gridSpan w:val="2"/>
            <w:tcBorders>
              <w:bottom w:val="single" w:sz="8" w:space="0" w:color="000000"/>
            </w:tcBorders>
            <w:tcMar>
              <w:bottom w:w="28" w:type="dxa"/>
            </w:tcMar>
            <w:vAlign w:val="bottom"/>
          </w:tcPr>
          <w:p>
            <w:pPr>
              <w:pStyle w:val="TableContents"/>
              <w:bidi w:val="0"/>
              <w:spacing w:before="0" w:after="283"/>
              <w:jc w:val="center"/>
              <w:rPr>
                <w:b/>
                <w:i/>
              </w:rPr>
            </w:pPr>
            <w:r>
              <w:rPr>
                <w:b/>
                <w:i/>
              </w:rPr>
              <w:t>Q1 2025</w:t>
            </w:r>
          </w:p>
        </w:tc>
        <w:tc>
          <w:tcPr>
            <w:tcW w:w="246" w:type="dxa"/>
            <w:tcBorders/>
            <w:vAlign w:val="bottom"/>
          </w:tcPr>
          <w:p>
            <w:pPr>
              <w:pStyle w:val="TableContents"/>
              <w:bidi w:val="0"/>
              <w:spacing w:before="0" w:after="283"/>
              <w:jc w:val="left"/>
              <w:rPr/>
            </w:pPr>
            <w:r>
              <w:rPr/>
              <w:t> </w:t>
            </w:r>
          </w:p>
        </w:tc>
      </w:tr>
      <w:tr>
        <w:trPr/>
        <w:tc>
          <w:tcPr>
            <w:tcW w:w="7258"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045" w:type="dxa"/>
            <w:gridSpan w:val="2"/>
            <w:tcBorders/>
            <w:vAlign w:val="bottom"/>
          </w:tcPr>
          <w:p>
            <w:pPr>
              <w:pStyle w:val="TableContents"/>
              <w:bidi w:val="0"/>
              <w:spacing w:before="0" w:after="283"/>
              <w:jc w:val="center"/>
              <w:rPr>
                <w:i/>
              </w:rPr>
            </w:pPr>
            <w:r>
              <w:rPr>
                <w:i/>
              </w:rPr>
              <w:t>(unaudited)</w:t>
            </w:r>
          </w:p>
        </w:tc>
        <w:tc>
          <w:tcPr>
            <w:tcW w:w="243"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045" w:type="dxa"/>
            <w:gridSpan w:val="2"/>
            <w:tcBorders/>
            <w:vAlign w:val="bottom"/>
          </w:tcPr>
          <w:p>
            <w:pPr>
              <w:pStyle w:val="TableContents"/>
              <w:bidi w:val="0"/>
              <w:spacing w:before="0" w:after="283"/>
              <w:jc w:val="center"/>
              <w:rPr>
                <w:i/>
              </w:rPr>
            </w:pPr>
            <w:r>
              <w:rPr>
                <w:i/>
              </w:rPr>
              <w:t>(unaudited)</w:t>
            </w:r>
          </w:p>
        </w:tc>
        <w:tc>
          <w:tcPr>
            <w:tcW w:w="246" w:type="dxa"/>
            <w:tcBorders/>
            <w:vAlign w:val="bottom"/>
          </w:tcPr>
          <w:p>
            <w:pPr>
              <w:pStyle w:val="TableContents"/>
              <w:bidi w:val="0"/>
              <w:spacing w:before="0" w:after="283"/>
              <w:jc w:val="left"/>
              <w:rPr/>
            </w:pPr>
            <w:r>
              <w:rPr/>
              <w:t> </w:t>
            </w:r>
          </w:p>
        </w:tc>
      </w:tr>
      <w:tr>
        <w:trPr/>
        <w:tc>
          <w:tcPr>
            <w:tcW w:w="725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income</w:t>
            </w:r>
          </w:p>
        </w:tc>
        <w:tc>
          <w:tcPr>
            <w:tcW w:w="145"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b/>
              </w:rPr>
            </w:pPr>
            <w:r>
              <w:rPr>
                <w:b/>
              </w:rPr>
              <w:t>$</w:t>
            </w:r>
          </w:p>
        </w:tc>
        <w:tc>
          <w:tcPr>
            <w:tcW w:w="891" w:type="dxa"/>
            <w:tcBorders/>
            <w:shd w:fill="CCEEFF" w:val="clear"/>
            <w:vAlign w:val="bottom"/>
          </w:tcPr>
          <w:p>
            <w:pPr>
              <w:pStyle w:val="TableContents"/>
              <w:bidi w:val="0"/>
              <w:spacing w:before="0" w:after="283"/>
              <w:jc w:val="right"/>
              <w:rPr>
                <w:b/>
              </w:rPr>
            </w:pPr>
            <w:r>
              <w:rPr>
                <w:b/>
              </w:rPr>
              <w:t>38,306</w:t>
            </w:r>
          </w:p>
        </w:tc>
        <w:tc>
          <w:tcPr>
            <w:tcW w:w="243"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b/>
              </w:rPr>
            </w:pPr>
            <w:r>
              <w:rPr>
                <w:b/>
              </w:rPr>
              <w:t>$</w:t>
            </w:r>
          </w:p>
        </w:tc>
        <w:tc>
          <w:tcPr>
            <w:tcW w:w="891" w:type="dxa"/>
            <w:tcBorders/>
            <w:shd w:fill="CCEEFF" w:val="clear"/>
            <w:vAlign w:val="bottom"/>
          </w:tcPr>
          <w:p>
            <w:pPr>
              <w:pStyle w:val="TableContents"/>
              <w:bidi w:val="0"/>
              <w:spacing w:before="0" w:after="283"/>
              <w:jc w:val="right"/>
              <w:rPr>
                <w:b/>
              </w:rPr>
            </w:pPr>
            <w:r>
              <w:rPr>
                <w:b/>
              </w:rPr>
              <w:t>19,542</w:t>
            </w:r>
          </w:p>
        </w:tc>
        <w:tc>
          <w:tcPr>
            <w:tcW w:w="246" w:type="dxa"/>
            <w:tcBorders/>
            <w:shd w:fill="CCEEFF" w:val="clear"/>
            <w:vAlign w:val="bottom"/>
          </w:tcPr>
          <w:p>
            <w:pPr>
              <w:pStyle w:val="TableContents"/>
              <w:bidi w:val="0"/>
              <w:spacing w:before="0" w:after="283"/>
              <w:jc w:val="left"/>
              <w:rPr/>
            </w:pPr>
            <w:r>
              <w:rPr/>
              <w:t> </w:t>
            </w:r>
          </w:p>
        </w:tc>
      </w:tr>
      <w:tr>
        <w:trPr/>
        <w:tc>
          <w:tcPr>
            <w:tcW w:w="7258" w:type="dxa"/>
            <w:tcBorders/>
          </w:tcPr>
          <w:p>
            <w:pPr>
              <w:pStyle w:val="TableContents"/>
              <w:bidi w:val="0"/>
              <w:spacing w:before="0" w:after="0"/>
              <w:jc w:val="left"/>
              <w:rPr>
                <w:rFonts w:ascii="Times New Roman" w:hAnsi="Times New Roman"/>
                <w:i/>
                <w:sz w:val="20"/>
              </w:rPr>
            </w:pPr>
            <w:r>
              <w:rPr>
                <w:rFonts w:ascii="Times New Roman" w:hAnsi="Times New Roman"/>
                <w:i/>
                <w:sz w:val="20"/>
              </w:rPr>
              <w:t>Add:</w:t>
            </w:r>
          </w:p>
        </w:tc>
        <w:tc>
          <w:tcPr>
            <w:tcW w:w="145"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sz w:val="4"/>
                <w:szCs w:val="4"/>
              </w:rPr>
            </w:pPr>
            <w:r>
              <w:rPr>
                <w:sz w:val="4"/>
                <w:szCs w:val="4"/>
              </w:rPr>
            </w:r>
          </w:p>
        </w:tc>
        <w:tc>
          <w:tcPr>
            <w:tcW w:w="891" w:type="dxa"/>
            <w:tcBorders/>
            <w:vAlign w:val="bottom"/>
          </w:tcPr>
          <w:p>
            <w:pPr>
              <w:pStyle w:val="TableContents"/>
              <w:bidi w:val="0"/>
              <w:spacing w:before="0" w:after="283"/>
              <w:jc w:val="left"/>
              <w:rPr>
                <w:sz w:val="4"/>
                <w:szCs w:val="4"/>
              </w:rPr>
            </w:pPr>
            <w:r>
              <w:rPr>
                <w:sz w:val="4"/>
                <w:szCs w:val="4"/>
              </w:rPr>
            </w:r>
          </w:p>
        </w:tc>
        <w:tc>
          <w:tcPr>
            <w:tcW w:w="243" w:type="dxa"/>
            <w:tcBorders/>
            <w:vAlign w:val="bottom"/>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sz w:val="4"/>
                <w:szCs w:val="4"/>
              </w:rPr>
            </w:pPr>
            <w:r>
              <w:rPr>
                <w:sz w:val="4"/>
                <w:szCs w:val="4"/>
              </w:rPr>
            </w:r>
          </w:p>
        </w:tc>
        <w:tc>
          <w:tcPr>
            <w:tcW w:w="891" w:type="dxa"/>
            <w:tcBorders/>
            <w:vAlign w:val="bottom"/>
          </w:tcPr>
          <w:p>
            <w:pPr>
              <w:pStyle w:val="TableContents"/>
              <w:bidi w:val="0"/>
              <w:spacing w:before="0" w:after="283"/>
              <w:jc w:val="left"/>
              <w:rPr>
                <w:sz w:val="4"/>
                <w:szCs w:val="4"/>
              </w:rPr>
            </w:pPr>
            <w:r>
              <w:rPr>
                <w:sz w:val="4"/>
                <w:szCs w:val="4"/>
              </w:rPr>
            </w:r>
          </w:p>
        </w:tc>
        <w:tc>
          <w:tcPr>
            <w:tcW w:w="246" w:type="dxa"/>
            <w:tcBorders/>
            <w:vAlign w:val="bottom"/>
          </w:tcPr>
          <w:p>
            <w:pPr>
              <w:pStyle w:val="TableContents"/>
              <w:bidi w:val="0"/>
              <w:spacing w:before="0" w:after="283"/>
              <w:jc w:val="left"/>
              <w:rPr>
                <w:sz w:val="4"/>
                <w:szCs w:val="4"/>
              </w:rPr>
            </w:pPr>
            <w:r>
              <w:rPr>
                <w:sz w:val="4"/>
                <w:szCs w:val="4"/>
              </w:rPr>
            </w:r>
          </w:p>
        </w:tc>
      </w:tr>
      <w:tr>
        <w:trPr/>
        <w:tc>
          <w:tcPr>
            <w:tcW w:w="72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 provision **</w:t>
            </w:r>
          </w:p>
        </w:tc>
        <w:tc>
          <w:tcPr>
            <w:tcW w:w="145"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891" w:type="dxa"/>
            <w:tcBorders/>
            <w:shd w:fill="CCEEFF" w:val="clear"/>
            <w:vAlign w:val="bottom"/>
          </w:tcPr>
          <w:p>
            <w:pPr>
              <w:pStyle w:val="TableContents"/>
              <w:bidi w:val="0"/>
              <w:spacing w:before="0" w:after="283"/>
              <w:jc w:val="right"/>
              <w:rPr/>
            </w:pPr>
            <w:r>
              <w:rPr/>
              <w:t>15,242</w:t>
            </w:r>
          </w:p>
        </w:tc>
        <w:tc>
          <w:tcPr>
            <w:tcW w:w="243"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891" w:type="dxa"/>
            <w:tcBorders/>
            <w:shd w:fill="CCEEFF" w:val="clear"/>
            <w:vAlign w:val="bottom"/>
          </w:tcPr>
          <w:p>
            <w:pPr>
              <w:pStyle w:val="TableContents"/>
              <w:bidi w:val="0"/>
              <w:spacing w:before="0" w:after="283"/>
              <w:jc w:val="right"/>
              <w:rPr/>
            </w:pPr>
            <w:r>
              <w:rPr/>
              <w:t>2,056</w:t>
            </w:r>
          </w:p>
        </w:tc>
        <w:tc>
          <w:tcPr>
            <w:tcW w:w="246" w:type="dxa"/>
            <w:tcBorders/>
            <w:shd w:fill="CCEEFF" w:val="clear"/>
            <w:vAlign w:val="bottom"/>
          </w:tcPr>
          <w:p>
            <w:pPr>
              <w:pStyle w:val="TableContents"/>
              <w:bidi w:val="0"/>
              <w:spacing w:before="0" w:after="283"/>
              <w:jc w:val="left"/>
              <w:rPr/>
            </w:pPr>
            <w:r>
              <w:rPr/>
              <w:t> </w:t>
            </w:r>
          </w:p>
        </w:tc>
      </w:tr>
      <w:tr>
        <w:trPr/>
        <w:tc>
          <w:tcPr>
            <w:tcW w:w="7258" w:type="dxa"/>
            <w:tcBorders/>
          </w:tcPr>
          <w:p>
            <w:pPr>
              <w:pStyle w:val="TableContents"/>
              <w:bidi w:val="0"/>
              <w:spacing w:before="0" w:after="0"/>
              <w:jc w:val="left"/>
              <w:rPr>
                <w:rFonts w:ascii="Times New Roman" w:hAnsi="Times New Roman"/>
                <w:sz w:val="20"/>
              </w:rPr>
            </w:pPr>
            <w:r>
              <w:rPr>
                <w:rFonts w:ascii="Times New Roman" w:hAnsi="Times New Roman"/>
                <w:sz w:val="20"/>
              </w:rPr>
              <w:t>Interest expense, net of interest income</w:t>
            </w:r>
          </w:p>
        </w:tc>
        <w:tc>
          <w:tcPr>
            <w:tcW w:w="145"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891" w:type="dxa"/>
            <w:tcBorders/>
            <w:vAlign w:val="bottom"/>
          </w:tcPr>
          <w:p>
            <w:pPr>
              <w:pStyle w:val="TableContents"/>
              <w:bidi w:val="0"/>
              <w:spacing w:before="0" w:after="283"/>
              <w:jc w:val="right"/>
              <w:rPr/>
            </w:pPr>
            <w:r>
              <w:rPr/>
              <w:t>36,629</w:t>
            </w:r>
          </w:p>
        </w:tc>
        <w:tc>
          <w:tcPr>
            <w:tcW w:w="243"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891" w:type="dxa"/>
            <w:tcBorders/>
            <w:vAlign w:val="bottom"/>
          </w:tcPr>
          <w:p>
            <w:pPr>
              <w:pStyle w:val="TableContents"/>
              <w:bidi w:val="0"/>
              <w:spacing w:before="0" w:after="283"/>
              <w:jc w:val="right"/>
              <w:rPr/>
            </w:pPr>
            <w:r>
              <w:rPr/>
              <w:t>40,444</w:t>
            </w:r>
          </w:p>
        </w:tc>
        <w:tc>
          <w:tcPr>
            <w:tcW w:w="246" w:type="dxa"/>
            <w:tcBorders/>
            <w:vAlign w:val="bottom"/>
          </w:tcPr>
          <w:p>
            <w:pPr>
              <w:pStyle w:val="TableContents"/>
              <w:bidi w:val="0"/>
              <w:spacing w:before="0" w:after="283"/>
              <w:jc w:val="left"/>
              <w:rPr/>
            </w:pPr>
            <w:r>
              <w:rPr/>
              <w:t> </w:t>
            </w:r>
          </w:p>
        </w:tc>
      </w:tr>
      <w:tr>
        <w:trPr/>
        <w:tc>
          <w:tcPr>
            <w:tcW w:w="72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145"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891" w:type="dxa"/>
            <w:tcBorders/>
            <w:shd w:fill="CCEEFF" w:val="clear"/>
            <w:vAlign w:val="bottom"/>
          </w:tcPr>
          <w:p>
            <w:pPr>
              <w:pStyle w:val="TableContents"/>
              <w:bidi w:val="0"/>
              <w:spacing w:before="0" w:after="283"/>
              <w:jc w:val="right"/>
              <w:rPr/>
            </w:pPr>
            <w:r>
              <w:rPr/>
              <w:t>33,830</w:t>
            </w:r>
          </w:p>
        </w:tc>
        <w:tc>
          <w:tcPr>
            <w:tcW w:w="243"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891" w:type="dxa"/>
            <w:tcBorders/>
            <w:shd w:fill="CCEEFF" w:val="clear"/>
            <w:vAlign w:val="bottom"/>
          </w:tcPr>
          <w:p>
            <w:pPr>
              <w:pStyle w:val="TableContents"/>
              <w:bidi w:val="0"/>
              <w:spacing w:before="0" w:after="283"/>
              <w:jc w:val="right"/>
              <w:rPr/>
            </w:pPr>
            <w:r>
              <w:rPr/>
              <w:t>32,136</w:t>
            </w:r>
          </w:p>
        </w:tc>
        <w:tc>
          <w:tcPr>
            <w:tcW w:w="246" w:type="dxa"/>
            <w:tcBorders/>
            <w:shd w:fill="CCEEFF" w:val="clear"/>
            <w:vAlign w:val="bottom"/>
          </w:tcPr>
          <w:p>
            <w:pPr>
              <w:pStyle w:val="TableContents"/>
              <w:bidi w:val="0"/>
              <w:spacing w:before="0" w:after="283"/>
              <w:jc w:val="left"/>
              <w:rPr/>
            </w:pPr>
            <w:r>
              <w:rPr/>
              <w:t> </w:t>
            </w:r>
          </w:p>
        </w:tc>
      </w:tr>
      <w:tr>
        <w:trPr/>
        <w:tc>
          <w:tcPr>
            <w:tcW w:w="7258" w:type="dxa"/>
            <w:tcBorders/>
            <w:vAlign w:val="bottom"/>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single" w:sz="2" w:space="1" w:color="000000"/>
              </w:pBdr>
              <w:bidi w:val="0"/>
              <w:spacing w:before="0" w:after="0"/>
              <w:jc w:val="left"/>
              <w:rPr/>
            </w:pPr>
            <w:r>
              <w:rPr/>
              <w:t> </w:t>
            </w:r>
          </w:p>
        </w:tc>
        <w:tc>
          <w:tcPr>
            <w:tcW w:w="891" w:type="dxa"/>
            <w:tcBorders/>
            <w:vAlign w:val="bottom"/>
          </w:tcPr>
          <w:p>
            <w:pPr>
              <w:pStyle w:val="TableContents"/>
              <w:pBdr>
                <w:top w:val="single" w:sz="2" w:space="1" w:color="000000"/>
              </w:pBdr>
              <w:bidi w:val="0"/>
              <w:spacing w:before="0" w:after="0"/>
              <w:jc w:val="left"/>
              <w:rPr/>
            </w:pPr>
            <w:r>
              <w:rPr/>
              <w:t> </w:t>
            </w:r>
          </w:p>
        </w:tc>
        <w:tc>
          <w:tcPr>
            <w:tcW w:w="243" w:type="dxa"/>
            <w:tcBorders/>
            <w:vAlign w:val="center"/>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single" w:sz="2" w:space="1" w:color="000000"/>
              </w:pBdr>
              <w:bidi w:val="0"/>
              <w:spacing w:before="0" w:after="0"/>
              <w:jc w:val="left"/>
              <w:rPr/>
            </w:pPr>
            <w:r>
              <w:rPr/>
              <w:t> </w:t>
            </w:r>
          </w:p>
        </w:tc>
        <w:tc>
          <w:tcPr>
            <w:tcW w:w="891" w:type="dxa"/>
            <w:tcBorders/>
            <w:vAlign w:val="bottom"/>
          </w:tcPr>
          <w:p>
            <w:pPr>
              <w:pStyle w:val="TableContents"/>
              <w:pBdr>
                <w:top w:val="single" w:sz="2" w:space="1" w:color="000000"/>
              </w:pBdr>
              <w:bidi w:val="0"/>
              <w:spacing w:before="0" w:after="0"/>
              <w:jc w:val="left"/>
              <w:rPr/>
            </w:pPr>
            <w:r>
              <w:rPr/>
              <w:t> </w:t>
            </w:r>
          </w:p>
        </w:tc>
        <w:tc>
          <w:tcPr>
            <w:tcW w:w="246" w:type="dxa"/>
            <w:tcBorders/>
            <w:vAlign w:val="center"/>
          </w:tcPr>
          <w:p>
            <w:pPr>
              <w:pStyle w:val="TableContents"/>
              <w:bidi w:val="0"/>
              <w:spacing w:before="0" w:after="283"/>
              <w:jc w:val="left"/>
              <w:rPr/>
            </w:pPr>
            <w:r>
              <w:rPr/>
              <w:t> </w:t>
            </w:r>
          </w:p>
        </w:tc>
      </w:tr>
      <w:tr>
        <w:trPr/>
        <w:tc>
          <w:tcPr>
            <w:tcW w:w="7258" w:type="dxa"/>
            <w:tcBorders/>
          </w:tcPr>
          <w:p>
            <w:pPr>
              <w:pStyle w:val="TableContents"/>
              <w:bidi w:val="0"/>
              <w:spacing w:before="0" w:after="0"/>
              <w:jc w:val="left"/>
              <w:rPr>
                <w:rFonts w:ascii="Times New Roman" w:hAnsi="Times New Roman"/>
                <w:b/>
                <w:sz w:val="20"/>
              </w:rPr>
            </w:pPr>
            <w:r>
              <w:rPr>
                <w:rFonts w:ascii="Times New Roman" w:hAnsi="Times New Roman"/>
                <w:b/>
                <w:sz w:val="20"/>
              </w:rPr>
              <w:t>EBITDA</w:t>
            </w:r>
          </w:p>
        </w:tc>
        <w:tc>
          <w:tcPr>
            <w:tcW w:w="145"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b/>
              </w:rPr>
            </w:pPr>
            <w:r>
              <w:rPr>
                <w:b/>
              </w:rPr>
              <w:t>$</w:t>
            </w:r>
          </w:p>
        </w:tc>
        <w:tc>
          <w:tcPr>
            <w:tcW w:w="891" w:type="dxa"/>
            <w:tcBorders/>
            <w:vAlign w:val="bottom"/>
          </w:tcPr>
          <w:p>
            <w:pPr>
              <w:pStyle w:val="TableContents"/>
              <w:bidi w:val="0"/>
              <w:spacing w:before="0" w:after="283"/>
              <w:jc w:val="right"/>
              <w:rPr>
                <w:b/>
              </w:rPr>
            </w:pPr>
            <w:r>
              <w:rPr>
                <w:b/>
              </w:rPr>
              <w:t>124,007</w:t>
            </w:r>
          </w:p>
        </w:tc>
        <w:tc>
          <w:tcPr>
            <w:tcW w:w="243"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b/>
              </w:rPr>
            </w:pPr>
            <w:r>
              <w:rPr>
                <w:b/>
              </w:rPr>
              <w:t>$</w:t>
            </w:r>
          </w:p>
        </w:tc>
        <w:tc>
          <w:tcPr>
            <w:tcW w:w="891" w:type="dxa"/>
            <w:tcBorders/>
            <w:vAlign w:val="bottom"/>
          </w:tcPr>
          <w:p>
            <w:pPr>
              <w:pStyle w:val="TableContents"/>
              <w:bidi w:val="0"/>
              <w:spacing w:before="0" w:after="283"/>
              <w:jc w:val="right"/>
              <w:rPr>
                <w:b/>
              </w:rPr>
            </w:pPr>
            <w:r>
              <w:rPr>
                <w:b/>
              </w:rPr>
              <w:t>94,178</w:t>
            </w:r>
          </w:p>
        </w:tc>
        <w:tc>
          <w:tcPr>
            <w:tcW w:w="246" w:type="dxa"/>
            <w:tcBorders/>
            <w:vAlign w:val="bottom"/>
          </w:tcPr>
          <w:p>
            <w:pPr>
              <w:pStyle w:val="TableContents"/>
              <w:bidi w:val="0"/>
              <w:spacing w:before="0" w:after="283"/>
              <w:jc w:val="left"/>
              <w:rPr/>
            </w:pPr>
            <w:r>
              <w:rPr/>
              <w:t> </w:t>
            </w:r>
          </w:p>
        </w:tc>
      </w:tr>
      <w:tr>
        <w:trPr/>
        <w:tc>
          <w:tcPr>
            <w:tcW w:w="7258" w:type="dxa"/>
            <w:tcBorders/>
            <w:vAlign w:val="bottom"/>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double" w:sz="6" w:space="1" w:color="000000"/>
              </w:pBdr>
              <w:bidi w:val="0"/>
              <w:spacing w:before="0" w:after="0"/>
              <w:jc w:val="left"/>
              <w:rPr/>
            </w:pPr>
            <w:r>
              <w:rPr/>
              <w:t> </w:t>
            </w:r>
          </w:p>
        </w:tc>
        <w:tc>
          <w:tcPr>
            <w:tcW w:w="891" w:type="dxa"/>
            <w:tcBorders/>
            <w:vAlign w:val="bottom"/>
          </w:tcPr>
          <w:p>
            <w:pPr>
              <w:pStyle w:val="TableContents"/>
              <w:pBdr>
                <w:top w:val="double" w:sz="6" w:space="1" w:color="000000"/>
              </w:pBdr>
              <w:bidi w:val="0"/>
              <w:spacing w:before="0" w:after="0"/>
              <w:jc w:val="left"/>
              <w:rPr/>
            </w:pPr>
            <w:r>
              <w:rPr/>
              <w:t> </w:t>
            </w:r>
          </w:p>
        </w:tc>
        <w:tc>
          <w:tcPr>
            <w:tcW w:w="243" w:type="dxa"/>
            <w:tcBorders/>
            <w:vAlign w:val="center"/>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double" w:sz="6" w:space="1" w:color="000000"/>
              </w:pBdr>
              <w:bidi w:val="0"/>
              <w:spacing w:before="0" w:after="0"/>
              <w:jc w:val="left"/>
              <w:rPr/>
            </w:pPr>
            <w:r>
              <w:rPr/>
              <w:t> </w:t>
            </w:r>
          </w:p>
        </w:tc>
        <w:tc>
          <w:tcPr>
            <w:tcW w:w="891" w:type="dxa"/>
            <w:tcBorders/>
            <w:vAlign w:val="bottom"/>
          </w:tcPr>
          <w:p>
            <w:pPr>
              <w:pStyle w:val="TableContents"/>
              <w:pBdr>
                <w:top w:val="double" w:sz="6" w:space="1" w:color="000000"/>
              </w:pBdr>
              <w:bidi w:val="0"/>
              <w:spacing w:before="0" w:after="0"/>
              <w:jc w:val="left"/>
              <w:rPr/>
            </w:pPr>
            <w:r>
              <w:rPr/>
              <w:t> </w:t>
            </w:r>
          </w:p>
        </w:tc>
        <w:tc>
          <w:tcPr>
            <w:tcW w:w="246" w:type="dxa"/>
            <w:tcBorders/>
            <w:vAlign w:val="center"/>
          </w:tcPr>
          <w:p>
            <w:pPr>
              <w:pStyle w:val="TableContents"/>
              <w:bidi w:val="0"/>
              <w:spacing w:before="0" w:after="283"/>
              <w:jc w:val="left"/>
              <w:rPr/>
            </w:pPr>
            <w:r>
              <w:rPr/>
              <w:t> </w:t>
            </w:r>
          </w:p>
        </w:tc>
      </w:tr>
      <w:tr>
        <w:trPr/>
        <w:tc>
          <w:tcPr>
            <w:tcW w:w="7258" w:type="dxa"/>
            <w:tcBorders/>
            <w:shd w:fill="CCEEFF" w:val="clear"/>
          </w:tcPr>
          <w:p>
            <w:pPr>
              <w:pStyle w:val="TableContents"/>
              <w:bidi w:val="0"/>
              <w:spacing w:before="0" w:after="0"/>
              <w:jc w:val="left"/>
              <w:rPr>
                <w:rFonts w:ascii="Times New Roman" w:hAnsi="Times New Roman"/>
                <w:i/>
                <w:sz w:val="20"/>
              </w:rPr>
            </w:pPr>
            <w:r>
              <w:rPr>
                <w:rFonts w:ascii="Times New Roman" w:hAnsi="Times New Roman"/>
                <w:i/>
                <w:sz w:val="20"/>
              </w:rPr>
              <w:t>Add (Subtract):</w:t>
            </w:r>
          </w:p>
        </w:tc>
        <w:tc>
          <w:tcPr>
            <w:tcW w:w="145"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sz w:val="4"/>
                <w:szCs w:val="4"/>
              </w:rPr>
            </w:pPr>
            <w:r>
              <w:rPr>
                <w:sz w:val="4"/>
                <w:szCs w:val="4"/>
              </w:rPr>
            </w:r>
          </w:p>
        </w:tc>
        <w:tc>
          <w:tcPr>
            <w:tcW w:w="891" w:type="dxa"/>
            <w:tcBorders/>
            <w:shd w:fill="CCEEFF" w:val="clear"/>
            <w:vAlign w:val="bottom"/>
          </w:tcPr>
          <w:p>
            <w:pPr>
              <w:pStyle w:val="TableContents"/>
              <w:bidi w:val="0"/>
              <w:spacing w:before="0" w:after="283"/>
              <w:jc w:val="left"/>
              <w:rPr>
                <w:sz w:val="4"/>
                <w:szCs w:val="4"/>
              </w:rPr>
            </w:pPr>
            <w:r>
              <w:rPr>
                <w:sz w:val="4"/>
                <w:szCs w:val="4"/>
              </w:rPr>
            </w:r>
          </w:p>
        </w:tc>
        <w:tc>
          <w:tcPr>
            <w:tcW w:w="243" w:type="dxa"/>
            <w:tcBorders/>
            <w:shd w:fill="CCEEFF" w:val="clear"/>
            <w:vAlign w:val="bottom"/>
          </w:tcPr>
          <w:p>
            <w:pPr>
              <w:pStyle w:val="TableContents"/>
              <w:bidi w:val="0"/>
              <w:spacing w:before="0" w:after="283"/>
              <w:jc w:val="left"/>
              <w:rPr>
                <w:sz w:val="4"/>
                <w:szCs w:val="4"/>
              </w:rPr>
            </w:pPr>
            <w:r>
              <w:rPr>
                <w:sz w:val="4"/>
                <w:szCs w:val="4"/>
              </w:rPr>
            </w:r>
          </w:p>
        </w:tc>
        <w:tc>
          <w:tcPr>
            <w:tcW w:w="223"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sz w:val="4"/>
                <w:szCs w:val="4"/>
              </w:rPr>
            </w:pPr>
            <w:r>
              <w:rPr>
                <w:sz w:val="4"/>
                <w:szCs w:val="4"/>
              </w:rPr>
            </w:r>
          </w:p>
        </w:tc>
        <w:tc>
          <w:tcPr>
            <w:tcW w:w="891" w:type="dxa"/>
            <w:tcBorders/>
            <w:shd w:fill="CCEEFF" w:val="clear"/>
            <w:vAlign w:val="bottom"/>
          </w:tcPr>
          <w:p>
            <w:pPr>
              <w:pStyle w:val="TableContents"/>
              <w:bidi w:val="0"/>
              <w:spacing w:before="0" w:after="283"/>
              <w:jc w:val="left"/>
              <w:rPr>
                <w:sz w:val="4"/>
                <w:szCs w:val="4"/>
              </w:rPr>
            </w:pPr>
            <w:r>
              <w:rPr>
                <w:sz w:val="4"/>
                <w:szCs w:val="4"/>
              </w:rPr>
            </w:r>
          </w:p>
        </w:tc>
        <w:tc>
          <w:tcPr>
            <w:tcW w:w="246" w:type="dxa"/>
            <w:tcBorders/>
            <w:shd w:fill="CCEEFF" w:val="clear"/>
            <w:vAlign w:val="bottom"/>
          </w:tcPr>
          <w:p>
            <w:pPr>
              <w:pStyle w:val="TableContents"/>
              <w:bidi w:val="0"/>
              <w:spacing w:before="0" w:after="283"/>
              <w:jc w:val="left"/>
              <w:rPr>
                <w:sz w:val="4"/>
                <w:szCs w:val="4"/>
              </w:rPr>
            </w:pPr>
            <w:r>
              <w:rPr>
                <w:sz w:val="4"/>
                <w:szCs w:val="4"/>
              </w:rPr>
            </w:r>
          </w:p>
        </w:tc>
      </w:tr>
      <w:tr>
        <w:trPr/>
        <w:tc>
          <w:tcPr>
            <w:tcW w:w="7258" w:type="dxa"/>
            <w:tcBorders/>
          </w:tcPr>
          <w:p>
            <w:pPr>
              <w:pStyle w:val="TableContents"/>
              <w:bidi w:val="0"/>
              <w:spacing w:before="0" w:after="0"/>
              <w:jc w:val="left"/>
              <w:rPr>
                <w:rFonts w:ascii="Times New Roman" w:hAnsi="Times New Roman"/>
                <w:sz w:val="20"/>
              </w:rPr>
            </w:pPr>
            <w:r>
              <w:rPr>
                <w:rFonts w:ascii="Times New Roman" w:hAnsi="Times New Roman"/>
                <w:sz w:val="20"/>
              </w:rPr>
              <w:t>Net loss attributable to noncontrolling interests</w:t>
            </w:r>
          </w:p>
        </w:tc>
        <w:tc>
          <w:tcPr>
            <w:tcW w:w="145"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891" w:type="dxa"/>
            <w:tcBorders/>
            <w:vAlign w:val="bottom"/>
          </w:tcPr>
          <w:p>
            <w:pPr>
              <w:pStyle w:val="TableContents"/>
              <w:bidi w:val="0"/>
              <w:spacing w:before="0" w:after="283"/>
              <w:jc w:val="right"/>
              <w:rPr/>
            </w:pPr>
            <w:r>
              <w:rPr/>
              <w:t>28</w:t>
            </w:r>
          </w:p>
        </w:tc>
        <w:tc>
          <w:tcPr>
            <w:tcW w:w="243"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891" w:type="dxa"/>
            <w:tcBorders/>
            <w:vAlign w:val="bottom"/>
          </w:tcPr>
          <w:p>
            <w:pPr>
              <w:pStyle w:val="TableContents"/>
              <w:bidi w:val="0"/>
              <w:spacing w:before="0" w:after="283"/>
              <w:jc w:val="right"/>
              <w:rPr/>
            </w:pPr>
            <w:r>
              <w:rPr/>
              <w:t>16</w:t>
            </w:r>
          </w:p>
        </w:tc>
        <w:tc>
          <w:tcPr>
            <w:tcW w:w="246" w:type="dxa"/>
            <w:tcBorders/>
            <w:vAlign w:val="bottom"/>
          </w:tcPr>
          <w:p>
            <w:pPr>
              <w:pStyle w:val="TableContents"/>
              <w:bidi w:val="0"/>
              <w:spacing w:before="0" w:after="283"/>
              <w:jc w:val="left"/>
              <w:rPr/>
            </w:pPr>
            <w:r>
              <w:rPr/>
              <w:t> </w:t>
            </w:r>
          </w:p>
        </w:tc>
      </w:tr>
      <w:tr>
        <w:trPr/>
        <w:tc>
          <w:tcPr>
            <w:tcW w:w="72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 based compensation expenses, pre-tax</w:t>
            </w:r>
          </w:p>
        </w:tc>
        <w:tc>
          <w:tcPr>
            <w:tcW w:w="145"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891" w:type="dxa"/>
            <w:tcBorders/>
            <w:shd w:fill="CCEEFF" w:val="clear"/>
            <w:vAlign w:val="bottom"/>
          </w:tcPr>
          <w:p>
            <w:pPr>
              <w:pStyle w:val="TableContents"/>
              <w:bidi w:val="0"/>
              <w:spacing w:before="0" w:after="283"/>
              <w:jc w:val="right"/>
              <w:rPr/>
            </w:pPr>
            <w:r>
              <w:rPr/>
              <w:t>7,766</w:t>
            </w:r>
          </w:p>
        </w:tc>
        <w:tc>
          <w:tcPr>
            <w:tcW w:w="243"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891" w:type="dxa"/>
            <w:tcBorders/>
            <w:shd w:fill="CCEEFF" w:val="clear"/>
            <w:vAlign w:val="bottom"/>
          </w:tcPr>
          <w:p>
            <w:pPr>
              <w:pStyle w:val="TableContents"/>
              <w:bidi w:val="0"/>
              <w:spacing w:before="0" w:after="283"/>
              <w:jc w:val="right"/>
              <w:rPr/>
            </w:pPr>
            <w:r>
              <w:rPr/>
              <w:t>6,488</w:t>
            </w:r>
          </w:p>
        </w:tc>
        <w:tc>
          <w:tcPr>
            <w:tcW w:w="246" w:type="dxa"/>
            <w:tcBorders/>
            <w:shd w:fill="CCEEFF" w:val="clear"/>
            <w:vAlign w:val="bottom"/>
          </w:tcPr>
          <w:p>
            <w:pPr>
              <w:pStyle w:val="TableContents"/>
              <w:bidi w:val="0"/>
              <w:spacing w:before="0" w:after="283"/>
              <w:jc w:val="left"/>
              <w:rPr/>
            </w:pPr>
            <w:r>
              <w:rPr/>
              <w:t> </w:t>
            </w:r>
          </w:p>
        </w:tc>
      </w:tr>
      <w:tr>
        <w:trPr/>
        <w:tc>
          <w:tcPr>
            <w:tcW w:w="7258" w:type="dxa"/>
            <w:tcBorders/>
          </w:tcPr>
          <w:p>
            <w:pPr>
              <w:pStyle w:val="TableContents"/>
              <w:bidi w:val="0"/>
              <w:spacing w:before="0" w:after="0"/>
              <w:jc w:val="left"/>
              <w:rPr>
                <w:rFonts w:ascii="Times New Roman" w:hAnsi="Times New Roman"/>
                <w:sz w:val="20"/>
              </w:rPr>
            </w:pPr>
            <w:r>
              <w:rPr>
                <w:rFonts w:ascii="Times New Roman" w:hAnsi="Times New Roman"/>
                <w:sz w:val="20"/>
              </w:rPr>
              <w:t>Transaction fees, pre-tax</w:t>
            </w:r>
          </w:p>
        </w:tc>
        <w:tc>
          <w:tcPr>
            <w:tcW w:w="145"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891" w:type="dxa"/>
            <w:tcBorders/>
            <w:vAlign w:val="bottom"/>
          </w:tcPr>
          <w:p>
            <w:pPr>
              <w:pStyle w:val="TableContents"/>
              <w:bidi w:val="0"/>
              <w:spacing w:before="0" w:after="283"/>
              <w:jc w:val="right"/>
              <w:rPr/>
            </w:pPr>
            <w:r>
              <w:rPr/>
              <w:t>166</w:t>
            </w:r>
          </w:p>
        </w:tc>
        <w:tc>
          <w:tcPr>
            <w:tcW w:w="243"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891" w:type="dxa"/>
            <w:tcBorders/>
            <w:vAlign w:val="bottom"/>
          </w:tcPr>
          <w:p>
            <w:pPr>
              <w:pStyle w:val="TableContents"/>
              <w:bidi w:val="0"/>
              <w:spacing w:before="0" w:after="283"/>
              <w:jc w:val="right"/>
              <w:rPr/>
            </w:pPr>
            <w:r>
              <w:rPr/>
              <w:t>55</w:t>
            </w:r>
          </w:p>
        </w:tc>
        <w:tc>
          <w:tcPr>
            <w:tcW w:w="246" w:type="dxa"/>
            <w:tcBorders/>
            <w:vAlign w:val="bottom"/>
          </w:tcPr>
          <w:p>
            <w:pPr>
              <w:pStyle w:val="TableContents"/>
              <w:bidi w:val="0"/>
              <w:spacing w:before="0" w:after="283"/>
              <w:jc w:val="left"/>
              <w:rPr/>
            </w:pPr>
            <w:r>
              <w:rPr/>
              <w:t> </w:t>
            </w:r>
          </w:p>
        </w:tc>
      </w:tr>
      <w:tr>
        <w:trPr/>
        <w:tc>
          <w:tcPr>
            <w:tcW w:w="72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Employee restructuring expenses, pre-tax</w:t>
            </w:r>
          </w:p>
        </w:tc>
        <w:tc>
          <w:tcPr>
            <w:tcW w:w="145"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891" w:type="dxa"/>
            <w:tcBorders/>
            <w:shd w:fill="CCEEFF" w:val="clear"/>
            <w:vAlign w:val="bottom"/>
          </w:tcPr>
          <w:p>
            <w:pPr>
              <w:pStyle w:val="TableContents"/>
              <w:bidi w:val="0"/>
              <w:spacing w:before="0" w:after="283"/>
              <w:jc w:val="right"/>
              <w:rPr/>
            </w:pPr>
            <w:r>
              <w:rPr/>
              <w:t>199</w:t>
            </w:r>
          </w:p>
        </w:tc>
        <w:tc>
          <w:tcPr>
            <w:tcW w:w="243"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891" w:type="dxa"/>
            <w:tcBorders/>
            <w:shd w:fill="CCEEFF" w:val="clear"/>
            <w:vAlign w:val="bottom"/>
          </w:tcPr>
          <w:p>
            <w:pPr>
              <w:pStyle w:val="TableContents"/>
              <w:bidi w:val="0"/>
              <w:spacing w:before="0" w:after="283"/>
              <w:jc w:val="right"/>
              <w:rPr/>
            </w:pPr>
            <w:r>
              <w:rPr/>
              <w:t>— </w:t>
            </w:r>
          </w:p>
        </w:tc>
        <w:tc>
          <w:tcPr>
            <w:tcW w:w="246" w:type="dxa"/>
            <w:tcBorders/>
            <w:shd w:fill="CCEEFF" w:val="clear"/>
            <w:vAlign w:val="bottom"/>
          </w:tcPr>
          <w:p>
            <w:pPr>
              <w:pStyle w:val="TableContents"/>
              <w:bidi w:val="0"/>
              <w:spacing w:before="0" w:after="283"/>
              <w:jc w:val="left"/>
              <w:rPr/>
            </w:pPr>
            <w:r>
              <w:rPr/>
              <w:t> </w:t>
            </w:r>
          </w:p>
        </w:tc>
      </w:tr>
      <w:tr>
        <w:trPr/>
        <w:tc>
          <w:tcPr>
            <w:tcW w:w="7258" w:type="dxa"/>
            <w:tcBorders/>
          </w:tcPr>
          <w:p>
            <w:pPr>
              <w:pStyle w:val="TableContents"/>
              <w:bidi w:val="0"/>
              <w:spacing w:before="0" w:after="0"/>
              <w:jc w:val="left"/>
              <w:rPr>
                <w:rFonts w:ascii="Times New Roman" w:hAnsi="Times New Roman"/>
                <w:sz w:val="20"/>
              </w:rPr>
            </w:pPr>
            <w:r>
              <w:rPr>
                <w:rFonts w:ascii="Times New Roman" w:hAnsi="Times New Roman"/>
                <w:sz w:val="20"/>
              </w:rPr>
              <w:t>Close-out expenses, pre-tax</w:t>
            </w:r>
          </w:p>
        </w:tc>
        <w:tc>
          <w:tcPr>
            <w:tcW w:w="145"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891" w:type="dxa"/>
            <w:tcBorders/>
            <w:vAlign w:val="bottom"/>
          </w:tcPr>
          <w:p>
            <w:pPr>
              <w:pStyle w:val="TableContents"/>
              <w:bidi w:val="0"/>
              <w:spacing w:before="0" w:after="283"/>
              <w:jc w:val="right"/>
              <w:rPr/>
            </w:pPr>
            <w:r>
              <w:rPr/>
              <w:t>20</w:t>
            </w:r>
          </w:p>
        </w:tc>
        <w:tc>
          <w:tcPr>
            <w:tcW w:w="243"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891" w:type="dxa"/>
            <w:tcBorders/>
            <w:vAlign w:val="bottom"/>
          </w:tcPr>
          <w:p>
            <w:pPr>
              <w:pStyle w:val="TableContents"/>
              <w:bidi w:val="0"/>
              <w:spacing w:before="0" w:after="283"/>
              <w:jc w:val="right"/>
              <w:rPr/>
            </w:pPr>
            <w:r>
              <w:rPr/>
              <w:t>— </w:t>
            </w:r>
          </w:p>
        </w:tc>
        <w:tc>
          <w:tcPr>
            <w:tcW w:w="246" w:type="dxa"/>
            <w:tcBorders/>
            <w:vAlign w:val="bottom"/>
          </w:tcPr>
          <w:p>
            <w:pPr>
              <w:pStyle w:val="TableContents"/>
              <w:bidi w:val="0"/>
              <w:spacing w:before="0" w:after="283"/>
              <w:jc w:val="left"/>
              <w:rPr/>
            </w:pPr>
            <w:r>
              <w:rPr/>
              <w:t> </w:t>
            </w:r>
          </w:p>
        </w:tc>
      </w:tr>
      <w:tr>
        <w:trPr/>
        <w:tc>
          <w:tcPr>
            <w:tcW w:w="72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non-cash revenue &amp; expenses, pre-tax</w:t>
            </w:r>
          </w:p>
        </w:tc>
        <w:tc>
          <w:tcPr>
            <w:tcW w:w="145"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891" w:type="dxa"/>
            <w:tcBorders/>
            <w:shd w:fill="CCEEFF" w:val="clear"/>
            <w:vAlign w:val="bottom"/>
          </w:tcPr>
          <w:p>
            <w:pPr>
              <w:pStyle w:val="TableContents"/>
              <w:bidi w:val="0"/>
              <w:spacing w:before="0" w:after="283"/>
              <w:jc w:val="right"/>
              <w:rPr/>
            </w:pPr>
            <w:r>
              <w:rPr/>
              <w:t>(775</w:t>
            </w:r>
          </w:p>
        </w:tc>
        <w:tc>
          <w:tcPr>
            <w:tcW w:w="243"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891" w:type="dxa"/>
            <w:tcBorders/>
            <w:shd w:fill="CCEEFF" w:val="clear"/>
            <w:vAlign w:val="bottom"/>
          </w:tcPr>
          <w:p>
            <w:pPr>
              <w:pStyle w:val="TableContents"/>
              <w:bidi w:val="0"/>
              <w:spacing w:before="0" w:after="283"/>
              <w:jc w:val="right"/>
              <w:rPr/>
            </w:pPr>
            <w:r>
              <w:rPr/>
              <w:t>(972</w:t>
            </w:r>
          </w:p>
        </w:tc>
        <w:tc>
          <w:tcPr>
            <w:tcW w:w="246" w:type="dxa"/>
            <w:tcBorders/>
            <w:shd w:fill="CCEEFF" w:val="clear"/>
            <w:vAlign w:val="bottom"/>
          </w:tcPr>
          <w:p>
            <w:pPr>
              <w:pStyle w:val="TableContents"/>
              <w:bidi w:val="0"/>
              <w:spacing w:before="0" w:after="283"/>
              <w:jc w:val="left"/>
              <w:rPr/>
            </w:pPr>
            <w:r>
              <w:rPr/>
              <w:t>) </w:t>
            </w:r>
          </w:p>
        </w:tc>
      </w:tr>
      <w:tr>
        <w:trPr/>
        <w:tc>
          <w:tcPr>
            <w:tcW w:w="7258" w:type="dxa"/>
            <w:tcBorders/>
            <w:vAlign w:val="bottom"/>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single" w:sz="2" w:space="1" w:color="000000"/>
              </w:pBdr>
              <w:bidi w:val="0"/>
              <w:spacing w:before="0" w:after="0"/>
              <w:jc w:val="left"/>
              <w:rPr/>
            </w:pPr>
            <w:r>
              <w:rPr/>
              <w:t> </w:t>
            </w:r>
          </w:p>
        </w:tc>
        <w:tc>
          <w:tcPr>
            <w:tcW w:w="891" w:type="dxa"/>
            <w:tcBorders/>
            <w:vAlign w:val="bottom"/>
          </w:tcPr>
          <w:p>
            <w:pPr>
              <w:pStyle w:val="TableContents"/>
              <w:pBdr>
                <w:top w:val="single" w:sz="2" w:space="1" w:color="000000"/>
              </w:pBdr>
              <w:bidi w:val="0"/>
              <w:spacing w:before="0" w:after="0"/>
              <w:jc w:val="left"/>
              <w:rPr/>
            </w:pPr>
            <w:r>
              <w:rPr/>
              <w:t> </w:t>
            </w:r>
          </w:p>
        </w:tc>
        <w:tc>
          <w:tcPr>
            <w:tcW w:w="243" w:type="dxa"/>
            <w:tcBorders/>
            <w:vAlign w:val="center"/>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single" w:sz="2" w:space="1" w:color="000000"/>
              </w:pBdr>
              <w:bidi w:val="0"/>
              <w:spacing w:before="0" w:after="0"/>
              <w:jc w:val="left"/>
              <w:rPr/>
            </w:pPr>
            <w:r>
              <w:rPr/>
              <w:t> </w:t>
            </w:r>
          </w:p>
        </w:tc>
        <w:tc>
          <w:tcPr>
            <w:tcW w:w="891" w:type="dxa"/>
            <w:tcBorders/>
            <w:vAlign w:val="bottom"/>
          </w:tcPr>
          <w:p>
            <w:pPr>
              <w:pStyle w:val="TableContents"/>
              <w:pBdr>
                <w:top w:val="single" w:sz="2" w:space="1" w:color="000000"/>
              </w:pBdr>
              <w:bidi w:val="0"/>
              <w:spacing w:before="0" w:after="0"/>
              <w:jc w:val="left"/>
              <w:rPr/>
            </w:pPr>
            <w:r>
              <w:rPr/>
              <w:t> </w:t>
            </w:r>
          </w:p>
        </w:tc>
        <w:tc>
          <w:tcPr>
            <w:tcW w:w="246" w:type="dxa"/>
            <w:tcBorders/>
            <w:vAlign w:val="center"/>
          </w:tcPr>
          <w:p>
            <w:pPr>
              <w:pStyle w:val="TableContents"/>
              <w:bidi w:val="0"/>
              <w:spacing w:before="0" w:after="283"/>
              <w:jc w:val="left"/>
              <w:rPr/>
            </w:pPr>
            <w:r>
              <w:rPr/>
              <w:t> </w:t>
            </w:r>
          </w:p>
        </w:tc>
      </w:tr>
      <w:tr>
        <w:trPr/>
        <w:tc>
          <w:tcPr>
            <w:tcW w:w="7258" w:type="dxa"/>
            <w:tcBorders/>
          </w:tcPr>
          <w:p>
            <w:pPr>
              <w:pStyle w:val="TableContents"/>
              <w:bidi w:val="0"/>
              <w:spacing w:before="0" w:after="0"/>
              <w:jc w:val="left"/>
              <w:rPr>
                <w:rFonts w:ascii="Times New Roman" w:hAnsi="Times New Roman"/>
                <w:b/>
                <w:sz w:val="20"/>
              </w:rPr>
            </w:pPr>
            <w:r>
              <w:rPr>
                <w:rFonts w:ascii="Times New Roman" w:hAnsi="Times New Roman"/>
                <w:b/>
                <w:sz w:val="20"/>
              </w:rPr>
              <w:t>Adjusted EBITDA</w:t>
            </w:r>
          </w:p>
        </w:tc>
        <w:tc>
          <w:tcPr>
            <w:tcW w:w="145"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b/>
              </w:rPr>
            </w:pPr>
            <w:r>
              <w:rPr>
                <w:b/>
              </w:rPr>
              <w:t>$</w:t>
            </w:r>
          </w:p>
        </w:tc>
        <w:tc>
          <w:tcPr>
            <w:tcW w:w="891" w:type="dxa"/>
            <w:tcBorders/>
            <w:vAlign w:val="bottom"/>
          </w:tcPr>
          <w:p>
            <w:pPr>
              <w:pStyle w:val="TableContents"/>
              <w:bidi w:val="0"/>
              <w:spacing w:before="0" w:after="283"/>
              <w:jc w:val="right"/>
              <w:rPr>
                <w:b/>
              </w:rPr>
            </w:pPr>
            <w:r>
              <w:rPr>
                <w:b/>
              </w:rPr>
              <w:t>131,411</w:t>
            </w:r>
          </w:p>
        </w:tc>
        <w:tc>
          <w:tcPr>
            <w:tcW w:w="243"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b/>
              </w:rPr>
            </w:pPr>
            <w:r>
              <w:rPr>
                <w:b/>
              </w:rPr>
              <w:t>$</w:t>
            </w:r>
          </w:p>
        </w:tc>
        <w:tc>
          <w:tcPr>
            <w:tcW w:w="891" w:type="dxa"/>
            <w:tcBorders/>
            <w:vAlign w:val="bottom"/>
          </w:tcPr>
          <w:p>
            <w:pPr>
              <w:pStyle w:val="TableContents"/>
              <w:bidi w:val="0"/>
              <w:spacing w:before="0" w:after="283"/>
              <w:jc w:val="right"/>
              <w:rPr>
                <w:b/>
              </w:rPr>
            </w:pPr>
            <w:r>
              <w:rPr>
                <w:b/>
              </w:rPr>
              <w:t>99,765</w:t>
            </w:r>
          </w:p>
        </w:tc>
        <w:tc>
          <w:tcPr>
            <w:tcW w:w="246" w:type="dxa"/>
            <w:tcBorders/>
            <w:vAlign w:val="bottom"/>
          </w:tcPr>
          <w:p>
            <w:pPr>
              <w:pStyle w:val="TableContents"/>
              <w:bidi w:val="0"/>
              <w:spacing w:before="0" w:after="283"/>
              <w:jc w:val="left"/>
              <w:rPr/>
            </w:pPr>
            <w:r>
              <w:rPr/>
              <w:t> </w:t>
            </w:r>
          </w:p>
        </w:tc>
      </w:tr>
      <w:tr>
        <w:trPr/>
        <w:tc>
          <w:tcPr>
            <w:tcW w:w="7258" w:type="dxa"/>
            <w:tcBorders/>
            <w:vAlign w:val="bottom"/>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double" w:sz="6" w:space="1" w:color="000000"/>
              </w:pBdr>
              <w:bidi w:val="0"/>
              <w:spacing w:before="0" w:after="0"/>
              <w:jc w:val="left"/>
              <w:rPr/>
            </w:pPr>
            <w:r>
              <w:rPr/>
              <w:t> </w:t>
            </w:r>
          </w:p>
        </w:tc>
        <w:tc>
          <w:tcPr>
            <w:tcW w:w="891" w:type="dxa"/>
            <w:tcBorders/>
            <w:vAlign w:val="bottom"/>
          </w:tcPr>
          <w:p>
            <w:pPr>
              <w:pStyle w:val="TableContents"/>
              <w:pBdr>
                <w:top w:val="double" w:sz="6" w:space="1" w:color="000000"/>
              </w:pBdr>
              <w:bidi w:val="0"/>
              <w:spacing w:before="0" w:after="0"/>
              <w:jc w:val="left"/>
              <w:rPr/>
            </w:pPr>
            <w:r>
              <w:rPr/>
              <w:t> </w:t>
            </w:r>
          </w:p>
        </w:tc>
        <w:tc>
          <w:tcPr>
            <w:tcW w:w="243" w:type="dxa"/>
            <w:tcBorders/>
            <w:vAlign w:val="center"/>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double" w:sz="6" w:space="1" w:color="000000"/>
              </w:pBdr>
              <w:bidi w:val="0"/>
              <w:spacing w:before="0" w:after="0"/>
              <w:jc w:val="left"/>
              <w:rPr/>
            </w:pPr>
            <w:r>
              <w:rPr/>
              <w:t> </w:t>
            </w:r>
          </w:p>
        </w:tc>
        <w:tc>
          <w:tcPr>
            <w:tcW w:w="891" w:type="dxa"/>
            <w:tcBorders/>
            <w:vAlign w:val="bottom"/>
          </w:tcPr>
          <w:p>
            <w:pPr>
              <w:pStyle w:val="TableContents"/>
              <w:pBdr>
                <w:top w:val="double" w:sz="6" w:space="1" w:color="000000"/>
              </w:pBdr>
              <w:bidi w:val="0"/>
              <w:spacing w:before="0" w:after="0"/>
              <w:jc w:val="left"/>
              <w:rPr/>
            </w:pPr>
            <w:r>
              <w:rPr/>
              <w:t> </w:t>
            </w:r>
          </w:p>
        </w:tc>
        <w:tc>
          <w:tcPr>
            <w:tcW w:w="246" w:type="dxa"/>
            <w:tcBorders/>
            <w:vAlign w:val="center"/>
          </w:tcPr>
          <w:p>
            <w:pPr>
              <w:pStyle w:val="TableContents"/>
              <w:bidi w:val="0"/>
              <w:spacing w:before="0" w:after="283"/>
              <w:jc w:val="left"/>
              <w:rPr/>
            </w:pPr>
            <w:r>
              <w:rPr/>
              <w:t> </w:t>
            </w:r>
          </w:p>
        </w:tc>
      </w:tr>
      <w:tr>
        <w:trPr/>
        <w:tc>
          <w:tcPr>
            <w:tcW w:w="7258" w:type="dxa"/>
            <w:tcBorders/>
            <w:shd w:fill="CCEEFF" w:val="clear"/>
          </w:tcPr>
          <w:p>
            <w:pPr>
              <w:pStyle w:val="TableContents"/>
              <w:bidi w:val="0"/>
              <w:spacing w:before="0" w:after="283"/>
              <w:jc w:val="left"/>
              <w:rPr>
                <w:b/>
              </w:rPr>
            </w:pPr>
            <w:r>
              <w:rPr>
                <w:b/>
              </w:rPr>
              <w:t>Net Income Attributable to The GEO Group, Inc. Operations</w:t>
            </w:r>
          </w:p>
        </w:tc>
        <w:tc>
          <w:tcPr>
            <w:tcW w:w="145"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b/>
              </w:rPr>
            </w:pPr>
            <w:r>
              <w:rPr>
                <w:b/>
              </w:rPr>
              <w:t>$</w:t>
            </w:r>
          </w:p>
        </w:tc>
        <w:tc>
          <w:tcPr>
            <w:tcW w:w="891" w:type="dxa"/>
            <w:tcBorders/>
            <w:shd w:fill="CCEEFF" w:val="clear"/>
            <w:vAlign w:val="bottom"/>
          </w:tcPr>
          <w:p>
            <w:pPr>
              <w:pStyle w:val="TableContents"/>
              <w:bidi w:val="0"/>
              <w:spacing w:before="0" w:after="283"/>
              <w:jc w:val="right"/>
              <w:rPr>
                <w:b/>
              </w:rPr>
            </w:pPr>
            <w:r>
              <w:rPr>
                <w:b/>
              </w:rPr>
              <w:t>38,334</w:t>
            </w:r>
          </w:p>
        </w:tc>
        <w:tc>
          <w:tcPr>
            <w:tcW w:w="243"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b/>
              </w:rPr>
            </w:pPr>
            <w:r>
              <w:rPr>
                <w:b/>
              </w:rPr>
              <w:t>$</w:t>
            </w:r>
          </w:p>
        </w:tc>
        <w:tc>
          <w:tcPr>
            <w:tcW w:w="891" w:type="dxa"/>
            <w:tcBorders/>
            <w:shd w:fill="CCEEFF" w:val="clear"/>
            <w:vAlign w:val="bottom"/>
          </w:tcPr>
          <w:p>
            <w:pPr>
              <w:pStyle w:val="TableContents"/>
              <w:bidi w:val="0"/>
              <w:spacing w:before="0" w:after="283"/>
              <w:jc w:val="right"/>
              <w:rPr>
                <w:b/>
              </w:rPr>
            </w:pPr>
            <w:r>
              <w:rPr>
                <w:b/>
              </w:rPr>
              <w:t>19,558</w:t>
            </w:r>
          </w:p>
        </w:tc>
        <w:tc>
          <w:tcPr>
            <w:tcW w:w="246" w:type="dxa"/>
            <w:tcBorders/>
            <w:shd w:fill="CCEEFF" w:val="clear"/>
            <w:vAlign w:val="bottom"/>
          </w:tcPr>
          <w:p>
            <w:pPr>
              <w:pStyle w:val="TableContents"/>
              <w:bidi w:val="0"/>
              <w:spacing w:before="0" w:after="283"/>
              <w:jc w:val="left"/>
              <w:rPr/>
            </w:pPr>
            <w:r>
              <w:rPr/>
              <w:t> </w:t>
            </w:r>
          </w:p>
        </w:tc>
      </w:tr>
      <w:tr>
        <w:trPr/>
        <w:tc>
          <w:tcPr>
            <w:tcW w:w="7258" w:type="dxa"/>
            <w:tcBorders/>
          </w:tcPr>
          <w:p>
            <w:pPr>
              <w:pStyle w:val="TableContents"/>
              <w:bidi w:val="0"/>
              <w:spacing w:before="0" w:after="0"/>
              <w:jc w:val="left"/>
              <w:rPr>
                <w:rFonts w:ascii="Times New Roman" w:hAnsi="Times New Roman"/>
                <w:sz w:val="20"/>
              </w:rPr>
            </w:pPr>
            <w:r>
              <w:rPr>
                <w:rFonts w:ascii="Times New Roman" w:hAnsi="Times New Roman"/>
                <w:sz w:val="20"/>
              </w:rPr>
              <w:t>Transaction fees, pre-tax</w:t>
            </w:r>
          </w:p>
        </w:tc>
        <w:tc>
          <w:tcPr>
            <w:tcW w:w="145"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891" w:type="dxa"/>
            <w:tcBorders/>
            <w:vAlign w:val="bottom"/>
          </w:tcPr>
          <w:p>
            <w:pPr>
              <w:pStyle w:val="TableContents"/>
              <w:bidi w:val="0"/>
              <w:spacing w:before="0" w:after="283"/>
              <w:jc w:val="right"/>
              <w:rPr/>
            </w:pPr>
            <w:r>
              <w:rPr/>
              <w:t>166</w:t>
            </w:r>
          </w:p>
        </w:tc>
        <w:tc>
          <w:tcPr>
            <w:tcW w:w="243"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891" w:type="dxa"/>
            <w:tcBorders/>
            <w:vAlign w:val="bottom"/>
          </w:tcPr>
          <w:p>
            <w:pPr>
              <w:pStyle w:val="TableContents"/>
              <w:bidi w:val="0"/>
              <w:spacing w:before="0" w:after="283"/>
              <w:jc w:val="right"/>
              <w:rPr/>
            </w:pPr>
            <w:r>
              <w:rPr/>
              <w:t>55</w:t>
            </w:r>
          </w:p>
        </w:tc>
        <w:tc>
          <w:tcPr>
            <w:tcW w:w="246" w:type="dxa"/>
            <w:tcBorders/>
            <w:vAlign w:val="bottom"/>
          </w:tcPr>
          <w:p>
            <w:pPr>
              <w:pStyle w:val="TableContents"/>
              <w:bidi w:val="0"/>
              <w:spacing w:before="0" w:after="283"/>
              <w:jc w:val="left"/>
              <w:rPr/>
            </w:pPr>
            <w:r>
              <w:rPr/>
              <w:t> </w:t>
            </w:r>
          </w:p>
        </w:tc>
      </w:tr>
      <w:tr>
        <w:trPr/>
        <w:tc>
          <w:tcPr>
            <w:tcW w:w="72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Employee restructuring expenses, pre-tax</w:t>
            </w:r>
          </w:p>
        </w:tc>
        <w:tc>
          <w:tcPr>
            <w:tcW w:w="145"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891" w:type="dxa"/>
            <w:tcBorders/>
            <w:shd w:fill="CCEEFF" w:val="clear"/>
            <w:vAlign w:val="bottom"/>
          </w:tcPr>
          <w:p>
            <w:pPr>
              <w:pStyle w:val="TableContents"/>
              <w:bidi w:val="0"/>
              <w:spacing w:before="0" w:after="283"/>
              <w:jc w:val="right"/>
              <w:rPr/>
            </w:pPr>
            <w:r>
              <w:rPr/>
              <w:t>199</w:t>
            </w:r>
          </w:p>
        </w:tc>
        <w:tc>
          <w:tcPr>
            <w:tcW w:w="243"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891" w:type="dxa"/>
            <w:tcBorders/>
            <w:shd w:fill="CCEEFF" w:val="clear"/>
            <w:vAlign w:val="bottom"/>
          </w:tcPr>
          <w:p>
            <w:pPr>
              <w:pStyle w:val="TableContents"/>
              <w:bidi w:val="0"/>
              <w:spacing w:before="0" w:after="283"/>
              <w:jc w:val="right"/>
              <w:rPr/>
            </w:pPr>
            <w:r>
              <w:rPr/>
              <w:t>— </w:t>
            </w:r>
          </w:p>
        </w:tc>
        <w:tc>
          <w:tcPr>
            <w:tcW w:w="246" w:type="dxa"/>
            <w:tcBorders/>
            <w:shd w:fill="CCEEFF" w:val="clear"/>
            <w:vAlign w:val="bottom"/>
          </w:tcPr>
          <w:p>
            <w:pPr>
              <w:pStyle w:val="TableContents"/>
              <w:bidi w:val="0"/>
              <w:spacing w:before="0" w:after="283"/>
              <w:jc w:val="left"/>
              <w:rPr/>
            </w:pPr>
            <w:r>
              <w:rPr/>
              <w:t> </w:t>
            </w:r>
          </w:p>
        </w:tc>
      </w:tr>
      <w:tr>
        <w:trPr/>
        <w:tc>
          <w:tcPr>
            <w:tcW w:w="7258" w:type="dxa"/>
            <w:tcBorders/>
          </w:tcPr>
          <w:p>
            <w:pPr>
              <w:pStyle w:val="TableContents"/>
              <w:bidi w:val="0"/>
              <w:spacing w:before="0" w:after="0"/>
              <w:jc w:val="left"/>
              <w:rPr>
                <w:rFonts w:ascii="Times New Roman" w:hAnsi="Times New Roman"/>
                <w:sz w:val="20"/>
              </w:rPr>
            </w:pPr>
            <w:r>
              <w:rPr>
                <w:rFonts w:ascii="Times New Roman" w:hAnsi="Times New Roman"/>
                <w:sz w:val="20"/>
              </w:rPr>
              <w:t>Close-out expenses, pre-tax</w:t>
            </w:r>
          </w:p>
        </w:tc>
        <w:tc>
          <w:tcPr>
            <w:tcW w:w="145"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891" w:type="dxa"/>
            <w:tcBorders/>
            <w:vAlign w:val="bottom"/>
          </w:tcPr>
          <w:p>
            <w:pPr>
              <w:pStyle w:val="TableContents"/>
              <w:bidi w:val="0"/>
              <w:spacing w:before="0" w:after="283"/>
              <w:jc w:val="right"/>
              <w:rPr/>
            </w:pPr>
            <w:r>
              <w:rPr/>
              <w:t>20</w:t>
            </w:r>
          </w:p>
        </w:tc>
        <w:tc>
          <w:tcPr>
            <w:tcW w:w="243"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891" w:type="dxa"/>
            <w:tcBorders/>
            <w:vAlign w:val="bottom"/>
          </w:tcPr>
          <w:p>
            <w:pPr>
              <w:pStyle w:val="TableContents"/>
              <w:bidi w:val="0"/>
              <w:spacing w:before="0" w:after="283"/>
              <w:jc w:val="right"/>
              <w:rPr/>
            </w:pPr>
            <w:r>
              <w:rPr/>
              <w:t>— </w:t>
            </w:r>
          </w:p>
        </w:tc>
        <w:tc>
          <w:tcPr>
            <w:tcW w:w="246" w:type="dxa"/>
            <w:tcBorders/>
            <w:vAlign w:val="bottom"/>
          </w:tcPr>
          <w:p>
            <w:pPr>
              <w:pStyle w:val="TableContents"/>
              <w:bidi w:val="0"/>
              <w:spacing w:before="0" w:after="283"/>
              <w:jc w:val="left"/>
              <w:rPr/>
            </w:pPr>
            <w:r>
              <w:rPr/>
              <w:t> </w:t>
            </w:r>
          </w:p>
        </w:tc>
      </w:tr>
      <w:tr>
        <w:trPr/>
        <w:tc>
          <w:tcPr>
            <w:tcW w:w="72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Tax effect of adjustment to net income attributable to GEO Operations (1)</w:t>
            </w:r>
          </w:p>
        </w:tc>
        <w:tc>
          <w:tcPr>
            <w:tcW w:w="145"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891" w:type="dxa"/>
            <w:tcBorders/>
            <w:shd w:fill="CCEEFF" w:val="clear"/>
            <w:vAlign w:val="bottom"/>
          </w:tcPr>
          <w:p>
            <w:pPr>
              <w:pStyle w:val="TableContents"/>
              <w:bidi w:val="0"/>
              <w:spacing w:before="0" w:after="283"/>
              <w:jc w:val="right"/>
              <w:rPr/>
            </w:pPr>
            <w:r>
              <w:rPr/>
              <w:t>(97</w:t>
            </w:r>
          </w:p>
        </w:tc>
        <w:tc>
          <w:tcPr>
            <w:tcW w:w="243"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891" w:type="dxa"/>
            <w:tcBorders/>
            <w:shd w:fill="CCEEFF" w:val="clear"/>
            <w:vAlign w:val="bottom"/>
          </w:tcPr>
          <w:p>
            <w:pPr>
              <w:pStyle w:val="TableContents"/>
              <w:bidi w:val="0"/>
              <w:spacing w:before="0" w:after="283"/>
              <w:jc w:val="right"/>
              <w:rPr/>
            </w:pPr>
            <w:r>
              <w:rPr/>
              <w:t>(14</w:t>
            </w:r>
          </w:p>
        </w:tc>
        <w:tc>
          <w:tcPr>
            <w:tcW w:w="246" w:type="dxa"/>
            <w:tcBorders/>
            <w:shd w:fill="CCEEFF" w:val="clear"/>
            <w:vAlign w:val="bottom"/>
          </w:tcPr>
          <w:p>
            <w:pPr>
              <w:pStyle w:val="TableContents"/>
              <w:bidi w:val="0"/>
              <w:spacing w:before="0" w:after="283"/>
              <w:jc w:val="left"/>
              <w:rPr/>
            </w:pPr>
            <w:r>
              <w:rPr/>
              <w:t>) </w:t>
            </w:r>
          </w:p>
        </w:tc>
      </w:tr>
      <w:tr>
        <w:trPr/>
        <w:tc>
          <w:tcPr>
            <w:tcW w:w="7258" w:type="dxa"/>
            <w:tcBorders/>
            <w:vAlign w:val="bottom"/>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single" w:sz="2" w:space="1" w:color="000000"/>
              </w:pBdr>
              <w:bidi w:val="0"/>
              <w:spacing w:before="0" w:after="0"/>
              <w:jc w:val="left"/>
              <w:rPr/>
            </w:pPr>
            <w:r>
              <w:rPr/>
              <w:t> </w:t>
            </w:r>
          </w:p>
        </w:tc>
        <w:tc>
          <w:tcPr>
            <w:tcW w:w="891" w:type="dxa"/>
            <w:tcBorders/>
            <w:vAlign w:val="bottom"/>
          </w:tcPr>
          <w:p>
            <w:pPr>
              <w:pStyle w:val="TableContents"/>
              <w:pBdr>
                <w:top w:val="single" w:sz="2" w:space="1" w:color="000000"/>
              </w:pBdr>
              <w:bidi w:val="0"/>
              <w:spacing w:before="0" w:after="0"/>
              <w:jc w:val="left"/>
              <w:rPr/>
            </w:pPr>
            <w:r>
              <w:rPr/>
              <w:t> </w:t>
            </w:r>
          </w:p>
        </w:tc>
        <w:tc>
          <w:tcPr>
            <w:tcW w:w="243" w:type="dxa"/>
            <w:tcBorders/>
            <w:vAlign w:val="center"/>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single" w:sz="2" w:space="1" w:color="000000"/>
              </w:pBdr>
              <w:bidi w:val="0"/>
              <w:spacing w:before="0" w:after="0"/>
              <w:jc w:val="left"/>
              <w:rPr/>
            </w:pPr>
            <w:r>
              <w:rPr/>
              <w:t> </w:t>
            </w:r>
          </w:p>
        </w:tc>
        <w:tc>
          <w:tcPr>
            <w:tcW w:w="891" w:type="dxa"/>
            <w:tcBorders/>
            <w:vAlign w:val="bottom"/>
          </w:tcPr>
          <w:p>
            <w:pPr>
              <w:pStyle w:val="TableContents"/>
              <w:pBdr>
                <w:top w:val="single" w:sz="2" w:space="1" w:color="000000"/>
              </w:pBdr>
              <w:bidi w:val="0"/>
              <w:spacing w:before="0" w:after="0"/>
              <w:jc w:val="left"/>
              <w:rPr/>
            </w:pPr>
            <w:r>
              <w:rPr/>
              <w:t> </w:t>
            </w:r>
          </w:p>
        </w:tc>
        <w:tc>
          <w:tcPr>
            <w:tcW w:w="246" w:type="dxa"/>
            <w:tcBorders/>
            <w:vAlign w:val="center"/>
          </w:tcPr>
          <w:p>
            <w:pPr>
              <w:pStyle w:val="TableContents"/>
              <w:bidi w:val="0"/>
              <w:spacing w:before="0" w:after="283"/>
              <w:jc w:val="left"/>
              <w:rPr/>
            </w:pPr>
            <w:r>
              <w:rPr/>
              <w:t> </w:t>
            </w:r>
          </w:p>
        </w:tc>
      </w:tr>
      <w:tr>
        <w:trPr/>
        <w:tc>
          <w:tcPr>
            <w:tcW w:w="7258" w:type="dxa"/>
            <w:tcBorders/>
          </w:tcPr>
          <w:p>
            <w:pPr>
              <w:pStyle w:val="TableContents"/>
              <w:bidi w:val="0"/>
              <w:spacing w:before="0" w:after="0"/>
              <w:jc w:val="left"/>
              <w:rPr>
                <w:rFonts w:ascii="Times New Roman" w:hAnsi="Times New Roman"/>
                <w:b/>
                <w:sz w:val="20"/>
              </w:rPr>
            </w:pPr>
            <w:r>
              <w:rPr>
                <w:rFonts w:ascii="Times New Roman" w:hAnsi="Times New Roman"/>
                <w:b/>
                <w:sz w:val="20"/>
              </w:rPr>
              <w:t>Adjusted Net Income</w:t>
            </w:r>
          </w:p>
        </w:tc>
        <w:tc>
          <w:tcPr>
            <w:tcW w:w="145"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b/>
              </w:rPr>
            </w:pPr>
            <w:r>
              <w:rPr>
                <w:b/>
              </w:rPr>
              <w:t>$</w:t>
            </w:r>
          </w:p>
        </w:tc>
        <w:tc>
          <w:tcPr>
            <w:tcW w:w="891" w:type="dxa"/>
            <w:tcBorders/>
            <w:vAlign w:val="bottom"/>
          </w:tcPr>
          <w:p>
            <w:pPr>
              <w:pStyle w:val="TableContents"/>
              <w:bidi w:val="0"/>
              <w:spacing w:before="0" w:after="283"/>
              <w:jc w:val="right"/>
              <w:rPr>
                <w:b/>
              </w:rPr>
            </w:pPr>
            <w:r>
              <w:rPr>
                <w:b/>
              </w:rPr>
              <w:t>38,622</w:t>
            </w:r>
          </w:p>
        </w:tc>
        <w:tc>
          <w:tcPr>
            <w:tcW w:w="243"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b/>
              </w:rPr>
            </w:pPr>
            <w:r>
              <w:rPr>
                <w:b/>
              </w:rPr>
              <w:t>$</w:t>
            </w:r>
          </w:p>
        </w:tc>
        <w:tc>
          <w:tcPr>
            <w:tcW w:w="891" w:type="dxa"/>
            <w:tcBorders/>
            <w:vAlign w:val="bottom"/>
          </w:tcPr>
          <w:p>
            <w:pPr>
              <w:pStyle w:val="TableContents"/>
              <w:bidi w:val="0"/>
              <w:spacing w:before="0" w:after="283"/>
              <w:jc w:val="right"/>
              <w:rPr>
                <w:b/>
              </w:rPr>
            </w:pPr>
            <w:r>
              <w:rPr>
                <w:b/>
              </w:rPr>
              <w:t>19,599</w:t>
            </w:r>
          </w:p>
        </w:tc>
        <w:tc>
          <w:tcPr>
            <w:tcW w:w="246" w:type="dxa"/>
            <w:tcBorders/>
            <w:vAlign w:val="bottom"/>
          </w:tcPr>
          <w:p>
            <w:pPr>
              <w:pStyle w:val="TableContents"/>
              <w:bidi w:val="0"/>
              <w:spacing w:before="0" w:after="283"/>
              <w:jc w:val="left"/>
              <w:rPr/>
            </w:pPr>
            <w:r>
              <w:rPr/>
              <w:t> </w:t>
            </w:r>
          </w:p>
        </w:tc>
      </w:tr>
      <w:tr>
        <w:trPr/>
        <w:tc>
          <w:tcPr>
            <w:tcW w:w="7258" w:type="dxa"/>
            <w:tcBorders/>
            <w:vAlign w:val="bottom"/>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double" w:sz="6" w:space="1" w:color="000000"/>
              </w:pBdr>
              <w:bidi w:val="0"/>
              <w:spacing w:before="0" w:after="0"/>
              <w:jc w:val="left"/>
              <w:rPr/>
            </w:pPr>
            <w:r>
              <w:rPr/>
              <w:t> </w:t>
            </w:r>
          </w:p>
        </w:tc>
        <w:tc>
          <w:tcPr>
            <w:tcW w:w="891" w:type="dxa"/>
            <w:tcBorders/>
            <w:vAlign w:val="bottom"/>
          </w:tcPr>
          <w:p>
            <w:pPr>
              <w:pStyle w:val="TableContents"/>
              <w:pBdr>
                <w:top w:val="double" w:sz="6" w:space="1" w:color="000000"/>
              </w:pBdr>
              <w:bidi w:val="0"/>
              <w:spacing w:before="0" w:after="0"/>
              <w:jc w:val="left"/>
              <w:rPr/>
            </w:pPr>
            <w:r>
              <w:rPr/>
              <w:t> </w:t>
            </w:r>
          </w:p>
        </w:tc>
        <w:tc>
          <w:tcPr>
            <w:tcW w:w="243" w:type="dxa"/>
            <w:tcBorders/>
            <w:vAlign w:val="center"/>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double" w:sz="6" w:space="1" w:color="000000"/>
              </w:pBdr>
              <w:bidi w:val="0"/>
              <w:spacing w:before="0" w:after="0"/>
              <w:jc w:val="left"/>
              <w:rPr/>
            </w:pPr>
            <w:r>
              <w:rPr/>
              <w:t> </w:t>
            </w:r>
          </w:p>
        </w:tc>
        <w:tc>
          <w:tcPr>
            <w:tcW w:w="891" w:type="dxa"/>
            <w:tcBorders/>
            <w:vAlign w:val="bottom"/>
          </w:tcPr>
          <w:p>
            <w:pPr>
              <w:pStyle w:val="TableContents"/>
              <w:pBdr>
                <w:top w:val="double" w:sz="6" w:space="1" w:color="000000"/>
              </w:pBdr>
              <w:bidi w:val="0"/>
              <w:spacing w:before="0" w:after="0"/>
              <w:jc w:val="left"/>
              <w:rPr/>
            </w:pPr>
            <w:r>
              <w:rPr/>
              <w:t> </w:t>
            </w:r>
          </w:p>
        </w:tc>
        <w:tc>
          <w:tcPr>
            <w:tcW w:w="246" w:type="dxa"/>
            <w:tcBorders/>
            <w:vAlign w:val="center"/>
          </w:tcPr>
          <w:p>
            <w:pPr>
              <w:pStyle w:val="TableContents"/>
              <w:bidi w:val="0"/>
              <w:spacing w:before="0" w:after="283"/>
              <w:jc w:val="left"/>
              <w:rPr/>
            </w:pPr>
            <w:r>
              <w:rPr/>
              <w:t> </w:t>
            </w:r>
          </w:p>
        </w:tc>
      </w:tr>
      <w:tr>
        <w:trPr/>
        <w:tc>
          <w:tcPr>
            <w:tcW w:w="72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 average common shares outstanding - Diluted</w:t>
            </w:r>
          </w:p>
        </w:tc>
        <w:tc>
          <w:tcPr>
            <w:tcW w:w="145"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891" w:type="dxa"/>
            <w:tcBorders/>
            <w:shd w:fill="CCEEFF" w:val="clear"/>
            <w:vAlign w:val="bottom"/>
          </w:tcPr>
          <w:p>
            <w:pPr>
              <w:pStyle w:val="TableContents"/>
              <w:bidi w:val="0"/>
              <w:spacing w:before="0" w:after="283"/>
              <w:jc w:val="right"/>
              <w:rPr/>
            </w:pPr>
            <w:r>
              <w:rPr/>
              <w:t>134,055</w:t>
            </w:r>
          </w:p>
        </w:tc>
        <w:tc>
          <w:tcPr>
            <w:tcW w:w="243"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891" w:type="dxa"/>
            <w:tcBorders/>
            <w:shd w:fill="CCEEFF" w:val="clear"/>
            <w:vAlign w:val="bottom"/>
          </w:tcPr>
          <w:p>
            <w:pPr>
              <w:pStyle w:val="TableContents"/>
              <w:bidi w:val="0"/>
              <w:spacing w:before="0" w:after="283"/>
              <w:jc w:val="right"/>
              <w:rPr/>
            </w:pPr>
            <w:r>
              <w:rPr/>
              <w:t>140,915</w:t>
            </w:r>
          </w:p>
        </w:tc>
        <w:tc>
          <w:tcPr>
            <w:tcW w:w="246" w:type="dxa"/>
            <w:tcBorders/>
            <w:shd w:fill="CCEEFF" w:val="clear"/>
            <w:vAlign w:val="bottom"/>
          </w:tcPr>
          <w:p>
            <w:pPr>
              <w:pStyle w:val="TableContents"/>
              <w:bidi w:val="0"/>
              <w:spacing w:before="0" w:after="283"/>
              <w:jc w:val="left"/>
              <w:rPr/>
            </w:pPr>
            <w:r>
              <w:rPr/>
              <w:t> </w:t>
            </w:r>
          </w:p>
        </w:tc>
      </w:tr>
      <w:tr>
        <w:trPr/>
        <w:tc>
          <w:tcPr>
            <w:tcW w:w="7258" w:type="dxa"/>
            <w:tcBorders/>
            <w:vAlign w:val="bottom"/>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single" w:sz="2" w:space="1" w:color="000000"/>
              </w:pBdr>
              <w:bidi w:val="0"/>
              <w:spacing w:before="0" w:after="0"/>
              <w:jc w:val="left"/>
              <w:rPr/>
            </w:pPr>
            <w:r>
              <w:rPr/>
              <w:t> </w:t>
            </w:r>
          </w:p>
        </w:tc>
        <w:tc>
          <w:tcPr>
            <w:tcW w:w="891" w:type="dxa"/>
            <w:tcBorders/>
            <w:vAlign w:val="bottom"/>
          </w:tcPr>
          <w:p>
            <w:pPr>
              <w:pStyle w:val="TableContents"/>
              <w:pBdr>
                <w:top w:val="single" w:sz="2" w:space="1" w:color="000000"/>
              </w:pBdr>
              <w:bidi w:val="0"/>
              <w:spacing w:before="0" w:after="0"/>
              <w:jc w:val="left"/>
              <w:rPr/>
            </w:pPr>
            <w:r>
              <w:rPr/>
              <w:t> </w:t>
            </w:r>
          </w:p>
        </w:tc>
        <w:tc>
          <w:tcPr>
            <w:tcW w:w="243" w:type="dxa"/>
            <w:tcBorders/>
            <w:vAlign w:val="center"/>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single" w:sz="2" w:space="1" w:color="000000"/>
              </w:pBdr>
              <w:bidi w:val="0"/>
              <w:spacing w:before="0" w:after="0"/>
              <w:jc w:val="left"/>
              <w:rPr/>
            </w:pPr>
            <w:r>
              <w:rPr/>
              <w:t> </w:t>
            </w:r>
          </w:p>
        </w:tc>
        <w:tc>
          <w:tcPr>
            <w:tcW w:w="891" w:type="dxa"/>
            <w:tcBorders/>
            <w:vAlign w:val="bottom"/>
          </w:tcPr>
          <w:p>
            <w:pPr>
              <w:pStyle w:val="TableContents"/>
              <w:pBdr>
                <w:top w:val="single" w:sz="2" w:space="1" w:color="000000"/>
              </w:pBdr>
              <w:bidi w:val="0"/>
              <w:spacing w:before="0" w:after="0"/>
              <w:jc w:val="left"/>
              <w:rPr/>
            </w:pPr>
            <w:r>
              <w:rPr/>
              <w:t> </w:t>
            </w:r>
          </w:p>
        </w:tc>
        <w:tc>
          <w:tcPr>
            <w:tcW w:w="246" w:type="dxa"/>
            <w:tcBorders/>
            <w:vAlign w:val="center"/>
          </w:tcPr>
          <w:p>
            <w:pPr>
              <w:pStyle w:val="TableContents"/>
              <w:bidi w:val="0"/>
              <w:spacing w:before="0" w:after="283"/>
              <w:jc w:val="left"/>
              <w:rPr/>
            </w:pPr>
            <w:r>
              <w:rPr/>
              <w:t> </w:t>
            </w:r>
          </w:p>
        </w:tc>
      </w:tr>
      <w:tr>
        <w:trPr/>
        <w:tc>
          <w:tcPr>
            <w:tcW w:w="7258" w:type="dxa"/>
            <w:tcBorders/>
          </w:tcPr>
          <w:p>
            <w:pPr>
              <w:pStyle w:val="TableContents"/>
              <w:bidi w:val="0"/>
              <w:spacing w:before="0" w:after="0"/>
              <w:jc w:val="left"/>
              <w:rPr>
                <w:rFonts w:ascii="Times New Roman" w:hAnsi="Times New Roman"/>
                <w:b/>
                <w:sz w:val="20"/>
              </w:rPr>
            </w:pPr>
            <w:r>
              <w:rPr>
                <w:rFonts w:ascii="Times New Roman" w:hAnsi="Times New Roman"/>
                <w:b/>
                <w:sz w:val="20"/>
              </w:rPr>
              <w:t>Adjusted Net Income per Diluted Share</w:t>
            </w:r>
          </w:p>
        </w:tc>
        <w:tc>
          <w:tcPr>
            <w:tcW w:w="145"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b/>
              </w:rPr>
            </w:pPr>
            <w:r>
              <w:rPr>
                <w:b/>
              </w:rPr>
              <w:t>$</w:t>
            </w:r>
          </w:p>
        </w:tc>
        <w:tc>
          <w:tcPr>
            <w:tcW w:w="891" w:type="dxa"/>
            <w:tcBorders/>
            <w:vAlign w:val="bottom"/>
          </w:tcPr>
          <w:p>
            <w:pPr>
              <w:pStyle w:val="TableContents"/>
              <w:bidi w:val="0"/>
              <w:spacing w:before="0" w:after="283"/>
              <w:jc w:val="right"/>
              <w:rPr>
                <w:b/>
              </w:rPr>
            </w:pPr>
            <w:r>
              <w:rPr>
                <w:b/>
              </w:rPr>
              <w:t>0.29</w:t>
            </w:r>
          </w:p>
        </w:tc>
        <w:tc>
          <w:tcPr>
            <w:tcW w:w="243"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b/>
              </w:rPr>
            </w:pPr>
            <w:r>
              <w:rPr>
                <w:b/>
              </w:rPr>
              <w:t>$</w:t>
            </w:r>
          </w:p>
        </w:tc>
        <w:tc>
          <w:tcPr>
            <w:tcW w:w="891" w:type="dxa"/>
            <w:tcBorders/>
            <w:vAlign w:val="bottom"/>
          </w:tcPr>
          <w:p>
            <w:pPr>
              <w:pStyle w:val="TableContents"/>
              <w:bidi w:val="0"/>
              <w:spacing w:before="0" w:after="283"/>
              <w:jc w:val="right"/>
              <w:rPr>
                <w:b/>
              </w:rPr>
            </w:pPr>
            <w:r>
              <w:rPr>
                <w:b/>
              </w:rPr>
              <w:t>0.14</w:t>
            </w:r>
          </w:p>
        </w:tc>
        <w:tc>
          <w:tcPr>
            <w:tcW w:w="246" w:type="dxa"/>
            <w:tcBorders/>
            <w:vAlign w:val="bottom"/>
          </w:tcPr>
          <w:p>
            <w:pPr>
              <w:pStyle w:val="TableContents"/>
              <w:bidi w:val="0"/>
              <w:spacing w:before="0" w:after="283"/>
              <w:jc w:val="left"/>
              <w:rPr/>
            </w:pPr>
            <w:r>
              <w:rPr/>
              <w:t> </w:t>
            </w:r>
          </w:p>
        </w:tc>
      </w:tr>
      <w:tr>
        <w:trPr/>
        <w:tc>
          <w:tcPr>
            <w:tcW w:w="7258" w:type="dxa"/>
            <w:tcBorders/>
            <w:vAlign w:val="bottom"/>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double" w:sz="6" w:space="1" w:color="000000"/>
              </w:pBdr>
              <w:bidi w:val="0"/>
              <w:spacing w:before="0" w:after="0"/>
              <w:jc w:val="left"/>
              <w:rPr/>
            </w:pPr>
            <w:r>
              <w:rPr/>
              <w:t> </w:t>
            </w:r>
          </w:p>
        </w:tc>
        <w:tc>
          <w:tcPr>
            <w:tcW w:w="891" w:type="dxa"/>
            <w:tcBorders/>
            <w:vAlign w:val="bottom"/>
          </w:tcPr>
          <w:p>
            <w:pPr>
              <w:pStyle w:val="TableContents"/>
              <w:pBdr>
                <w:top w:val="double" w:sz="6" w:space="1" w:color="000000"/>
              </w:pBdr>
              <w:bidi w:val="0"/>
              <w:spacing w:before="0" w:after="0"/>
              <w:jc w:val="left"/>
              <w:rPr/>
            </w:pPr>
            <w:r>
              <w:rPr/>
              <w:t> </w:t>
            </w:r>
          </w:p>
        </w:tc>
        <w:tc>
          <w:tcPr>
            <w:tcW w:w="243" w:type="dxa"/>
            <w:tcBorders/>
            <w:vAlign w:val="center"/>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double" w:sz="6" w:space="1" w:color="000000"/>
              </w:pBdr>
              <w:bidi w:val="0"/>
              <w:spacing w:before="0" w:after="0"/>
              <w:jc w:val="left"/>
              <w:rPr/>
            </w:pPr>
            <w:r>
              <w:rPr/>
              <w:t> </w:t>
            </w:r>
          </w:p>
        </w:tc>
        <w:tc>
          <w:tcPr>
            <w:tcW w:w="891" w:type="dxa"/>
            <w:tcBorders/>
            <w:vAlign w:val="bottom"/>
          </w:tcPr>
          <w:p>
            <w:pPr>
              <w:pStyle w:val="TableContents"/>
              <w:pBdr>
                <w:top w:val="double" w:sz="6" w:space="1" w:color="000000"/>
              </w:pBdr>
              <w:bidi w:val="0"/>
              <w:spacing w:before="0" w:after="0"/>
              <w:jc w:val="left"/>
              <w:rPr/>
            </w:pPr>
            <w:r>
              <w:rPr/>
              <w:t> </w:t>
            </w:r>
          </w:p>
        </w:tc>
        <w:tc>
          <w:tcPr>
            <w:tcW w:w="246"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figures in ‘000s.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income tax provision on equity in earnings of affiliates.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 adjustment related to transaction fees, employee restructuring expenses, and close-out expenses. </w:t>
            </w:r>
          </w:p>
        </w:tc>
      </w:tr>
    </w:tbl>
    <w:tbl>
      <w:tblPr>
        <w:tblW w:w="5000" w:type="pct"/>
        <w:jc w:val="left"/>
        <w:tblInd w:w="0" w:type="dxa"/>
        <w:tblLayout w:type="fixed"/>
        <w:tblCellMar>
          <w:top w:w="0" w:type="dxa"/>
          <w:left w:w="0" w:type="dxa"/>
          <w:bottom w:w="0" w:type="dxa"/>
          <w:right w:w="0" w:type="dxa"/>
        </w:tblCellMar>
      </w:tblPr>
      <w:tblGrid>
        <w:gridCol w:w="10205"/>
      </w:tblGrid>
      <w:tr>
        <w:trPr/>
        <w:tc>
          <w:tcPr>
            <w:tcW w:w="1020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97"/>
        <w:gridCol w:w="123"/>
        <w:gridCol w:w="3233"/>
        <w:gridCol w:w="123"/>
        <w:gridCol w:w="3129"/>
      </w:tblGrid>
      <w:tr>
        <w:trPr/>
        <w:tc>
          <w:tcPr>
            <w:tcW w:w="3597"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233"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129" w:type="dxa"/>
            <w:tcBorders/>
            <w:vAlign w:val="center"/>
          </w:tcPr>
          <w:p>
            <w:pPr>
              <w:pStyle w:val="TableContents"/>
              <w:bidi w:val="0"/>
              <w:spacing w:before="0" w:after="283"/>
              <w:jc w:val="left"/>
              <w:rPr>
                <w:sz w:val="4"/>
                <w:szCs w:val="4"/>
              </w:rPr>
            </w:pPr>
            <w:r>
              <w:rPr>
                <w:sz w:val="4"/>
                <w:szCs w:val="4"/>
              </w:rPr>
            </w:r>
          </w:p>
        </w:tc>
      </w:tr>
      <w:tr>
        <w:trPr/>
        <w:tc>
          <w:tcPr>
            <w:tcW w:w="3597"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233" w:type="dxa"/>
            <w:tcBorders/>
          </w:tcPr>
          <w:p>
            <w:pPr>
              <w:pStyle w:val="TableContents"/>
              <w:bidi w:val="0"/>
              <w:spacing w:before="0" w:after="283"/>
              <w:jc w:val="center"/>
              <w:rPr/>
            </w:pPr>
            <w:r>
              <w:rPr/>
              <w:t xml:space="preserve">— </w:t>
            </w:r>
            <w:r>
              <w:rPr>
                <w:b/>
              </w:rPr>
              <w:t>More —</w:t>
            </w:r>
          </w:p>
        </w:tc>
        <w:tc>
          <w:tcPr>
            <w:tcW w:w="123" w:type="dxa"/>
            <w:tcBorders/>
            <w:vAlign w:val="bottom"/>
          </w:tcPr>
          <w:p>
            <w:pPr>
              <w:pStyle w:val="TableContents"/>
              <w:bidi w:val="0"/>
              <w:spacing w:before="0" w:after="283"/>
              <w:jc w:val="left"/>
              <w:rPr/>
            </w:pPr>
            <w:r>
              <w:rPr/>
              <w:t>  </w:t>
            </w:r>
          </w:p>
        </w:tc>
        <w:tc>
          <w:tcPr>
            <w:tcW w:w="3129" w:type="dxa"/>
            <w:tcBorders/>
          </w:tcPr>
          <w:p>
            <w:pPr>
              <w:pStyle w:val="TableContents"/>
              <w:bidi w:val="0"/>
              <w:spacing w:before="0" w:after="283"/>
              <w:jc w:val="left"/>
              <w:rPr>
                <w:sz w:val="4"/>
                <w:szCs w:val="4"/>
              </w:rPr>
            </w:pPr>
            <w:r>
              <w:rPr>
                <w:sz w:val="4"/>
                <w:szCs w:val="4"/>
              </w:rPr>
            </w:r>
          </w:p>
        </w:tc>
      </w:tr>
      <w:tr>
        <w:trPr/>
        <w:tc>
          <w:tcPr>
            <w:tcW w:w="3597" w:type="dxa"/>
            <w:tcBorders/>
          </w:tcPr>
          <w:p>
            <w:pPr>
              <w:pStyle w:val="TableContents"/>
              <w:bidi w:val="0"/>
              <w:spacing w:before="0" w:after="283"/>
              <w:jc w:val="left"/>
              <w:rPr/>
            </w:pPr>
            <w:r>
              <w:rPr>
                <w:b/>
              </w:rPr>
              <w:t xml:space="preserve">Contact: </w:t>
            </w:r>
            <w:r>
              <w:rPr/>
              <w:t>Pablo E. Paez</w:t>
            </w:r>
          </w:p>
        </w:tc>
        <w:tc>
          <w:tcPr>
            <w:tcW w:w="123" w:type="dxa"/>
            <w:tcBorders/>
            <w:vAlign w:val="bottom"/>
          </w:tcPr>
          <w:p>
            <w:pPr>
              <w:pStyle w:val="TableContents"/>
              <w:bidi w:val="0"/>
              <w:spacing w:before="0" w:after="283"/>
              <w:jc w:val="left"/>
              <w:rPr/>
            </w:pPr>
            <w:r>
              <w:rPr/>
              <w:t>  </w:t>
            </w:r>
          </w:p>
        </w:tc>
        <w:tc>
          <w:tcPr>
            <w:tcW w:w="3233"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129" w:type="dxa"/>
            <w:tcBorders/>
          </w:tcPr>
          <w:p>
            <w:pPr>
              <w:pStyle w:val="TableContents"/>
              <w:bidi w:val="0"/>
              <w:spacing w:before="0" w:after="283"/>
              <w:jc w:val="left"/>
              <w:rPr/>
            </w:pPr>
            <w:r>
              <w:rPr/>
              <w:t>(866) 301 4436</w:t>
            </w:r>
          </w:p>
        </w:tc>
      </w:tr>
      <w:tr>
        <w:trPr/>
        <w:tc>
          <w:tcPr>
            <w:tcW w:w="6953"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Executive Vice President, Corporate Relations</w:t>
            </w:r>
          </w:p>
        </w:tc>
        <w:tc>
          <w:tcPr>
            <w:tcW w:w="123" w:type="dxa"/>
            <w:tcBorders/>
            <w:vAlign w:val="bottom"/>
          </w:tcPr>
          <w:p>
            <w:pPr>
              <w:pStyle w:val="TableContents"/>
              <w:bidi w:val="0"/>
              <w:spacing w:before="0" w:after="283"/>
              <w:jc w:val="left"/>
              <w:rPr/>
            </w:pPr>
            <w:r>
              <w:rPr/>
              <w:t>  </w:t>
            </w:r>
          </w:p>
        </w:tc>
        <w:tc>
          <w:tcPr>
            <w:tcW w:w="3129"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b/>
          <w:sz w:val="20"/>
        </w:rPr>
      </w:pPr>
      <w:r>
        <w:rPr>
          <w:rFonts w:ascii="Times New Roman" w:hAnsi="Times New Roman"/>
          <w:b/>
          <w:sz w:val="20"/>
        </w:rPr>
        <w:t xml:space="preserve">N E W S R E L E A S E </w:t>
      </w:r>
    </w:p>
    <w:p>
      <w:pPr>
        <w:pStyle w:val="TextBody"/>
        <w:bidi w:val="0"/>
        <w:spacing w:before="0" w:after="0"/>
        <w:jc w:val="left"/>
        <w:rPr/>
      </w:pPr>
      <w:r>
        <w:rPr/>
        <w:t> </w:t>
      </w:r>
    </w:p>
    <w:p>
      <w:pPr>
        <w:pStyle w:val="TextBody"/>
        <w:bidi w:val="0"/>
        <w:spacing w:before="0" w:after="0"/>
        <w:jc w:val="left"/>
        <w:rPr>
          <w:rFonts w:ascii="Times New Roman" w:hAnsi="Times New Roman"/>
          <w:b/>
          <w:sz w:val="20"/>
          <w:u w:val="single"/>
        </w:rPr>
      </w:pPr>
      <w:r>
        <w:rPr>
          <w:rFonts w:ascii="Times New Roman" w:hAnsi="Times New Roman"/>
          <w:b/>
          <w:sz w:val="20"/>
          <w:u w:val="single"/>
        </w:rPr>
        <w:t xml:space="preserve">2026 Outlook/Reconciliation </w:t>
      </w:r>
    </w:p>
    <w:p>
      <w:pPr>
        <w:pStyle w:val="TextBody"/>
        <w:bidi w:val="0"/>
        <w:spacing w:before="0" w:after="0"/>
        <w:jc w:val="left"/>
        <w:rPr>
          <w:rFonts w:ascii="Times New Roman" w:hAnsi="Times New Roman"/>
          <w:sz w:val="20"/>
        </w:rPr>
      </w:pPr>
      <w:r>
        <w:rPr>
          <w:rFonts w:ascii="Times New Roman" w:hAnsi="Times New Roman"/>
          <w:sz w:val="20"/>
        </w:rPr>
        <w:t xml:space="preserve">(In thousands, except per share data) </w:t>
      </w:r>
    </w:p>
    <w:p>
      <w:pPr>
        <w:pStyle w:val="TextBody"/>
        <w:bidi w:val="0"/>
        <w:spacing w:before="0" w:after="0"/>
        <w:jc w:val="left"/>
        <w:rPr>
          <w:rFonts w:ascii="Times New Roman" w:hAnsi="Times New Roman"/>
          <w:sz w:val="20"/>
        </w:rPr>
      </w:pPr>
      <w:r>
        <w:rPr>
          <w:rFonts w:ascii="Times New Roman" w:hAnsi="Times New Roman"/>
          <w:sz w:val="20"/>
        </w:rPr>
        <w:t xml:space="preserve">(Unaudited)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838"/>
        <w:gridCol w:w="132"/>
        <w:gridCol w:w="140"/>
        <w:gridCol w:w="985"/>
        <w:gridCol w:w="107"/>
        <w:gridCol w:w="214"/>
        <w:gridCol w:w="254"/>
        <w:gridCol w:w="214"/>
        <w:gridCol w:w="140"/>
        <w:gridCol w:w="985"/>
        <w:gridCol w:w="196"/>
      </w:tblGrid>
      <w:tr>
        <w:trPr/>
        <w:tc>
          <w:tcPr>
            <w:tcW w:w="6838" w:type="dxa"/>
            <w:tcBorders/>
            <w:vAlign w:val="center"/>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214" w:type="dxa"/>
            <w:tcBorders/>
            <w:vAlign w:val="bottom"/>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1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sz w:val="4"/>
                <w:szCs w:val="4"/>
              </w:rPr>
            </w:pPr>
            <w:r>
              <w:rPr>
                <w:sz w:val="4"/>
                <w:szCs w:val="4"/>
              </w:rPr>
            </w:r>
          </w:p>
        </w:tc>
      </w:tr>
      <w:tr>
        <w:trPr/>
        <w:tc>
          <w:tcPr>
            <w:tcW w:w="6838"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3039" w:type="dxa"/>
            <w:gridSpan w:val="8"/>
            <w:tcBorders>
              <w:bottom w:val="single" w:sz="8" w:space="0" w:color="000000"/>
            </w:tcBorders>
            <w:tcMar>
              <w:bottom w:w="28" w:type="dxa"/>
            </w:tcMar>
            <w:vAlign w:val="bottom"/>
          </w:tcPr>
          <w:p>
            <w:pPr>
              <w:pStyle w:val="TableContents"/>
              <w:bidi w:val="0"/>
              <w:spacing w:before="0" w:after="283"/>
              <w:jc w:val="center"/>
              <w:rPr>
                <w:b/>
              </w:rPr>
            </w:pPr>
            <w:r>
              <w:rPr>
                <w:b/>
              </w:rPr>
              <w:t>FY 2026</w:t>
            </w:r>
          </w:p>
        </w:tc>
        <w:tc>
          <w:tcPr>
            <w:tcW w:w="196" w:type="dxa"/>
            <w:tcBorders/>
            <w:vAlign w:val="bottom"/>
          </w:tcPr>
          <w:p>
            <w:pPr>
              <w:pStyle w:val="TableContents"/>
              <w:bidi w:val="0"/>
              <w:spacing w:before="0" w:after="283"/>
              <w:jc w:val="left"/>
              <w:rPr/>
            </w:pPr>
            <w:r>
              <w:rPr/>
              <w:t> </w:t>
            </w:r>
          </w:p>
        </w:tc>
      </w:tr>
      <w:tr>
        <w:trPr/>
        <w:tc>
          <w:tcPr>
            <w:tcW w:w="683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Income Attributable to GEO Operations</w:t>
            </w:r>
          </w:p>
        </w:tc>
        <w:tc>
          <w:tcPr>
            <w:tcW w:w="13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5" w:type="dxa"/>
            <w:tcBorders/>
            <w:shd w:fill="CCEEFF" w:val="clear"/>
            <w:vAlign w:val="bottom"/>
          </w:tcPr>
          <w:p>
            <w:pPr>
              <w:pStyle w:val="TableContents"/>
              <w:bidi w:val="0"/>
              <w:spacing w:before="0" w:after="283"/>
              <w:jc w:val="right"/>
              <w:rPr/>
            </w:pPr>
            <w:r>
              <w:rPr/>
              <w:t>153,000</w:t>
            </w:r>
          </w:p>
        </w:tc>
        <w:tc>
          <w:tcPr>
            <w:tcW w:w="107"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254" w:type="dxa"/>
            <w:tcBorders/>
            <w:shd w:fill="CCEEFF" w:val="clear"/>
          </w:tcPr>
          <w:p>
            <w:pPr>
              <w:pStyle w:val="TableContents"/>
              <w:bidi w:val="0"/>
              <w:spacing w:before="0" w:after="283"/>
              <w:jc w:val="center"/>
              <w:rPr/>
            </w:pPr>
            <w:r>
              <w:rPr/>
              <w:t>to</w:t>
            </w:r>
          </w:p>
        </w:tc>
        <w:tc>
          <w:tcPr>
            <w:tcW w:w="2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5" w:type="dxa"/>
            <w:tcBorders/>
            <w:shd w:fill="CCEEFF" w:val="clear"/>
            <w:vAlign w:val="bottom"/>
          </w:tcPr>
          <w:p>
            <w:pPr>
              <w:pStyle w:val="TableContents"/>
              <w:bidi w:val="0"/>
              <w:spacing w:before="0" w:after="283"/>
              <w:jc w:val="right"/>
              <w:rPr/>
            </w:pPr>
            <w:r>
              <w:rPr/>
              <w:t>166,000</w:t>
            </w:r>
          </w:p>
        </w:tc>
        <w:tc>
          <w:tcPr>
            <w:tcW w:w="196" w:type="dxa"/>
            <w:tcBorders/>
            <w:shd w:fill="CCEEFF" w:val="clear"/>
            <w:vAlign w:val="bottom"/>
          </w:tcPr>
          <w:p>
            <w:pPr>
              <w:pStyle w:val="TableContents"/>
              <w:bidi w:val="0"/>
              <w:spacing w:before="0" w:after="283"/>
              <w:jc w:val="left"/>
              <w:rPr/>
            </w:pPr>
            <w:r>
              <w:rPr/>
              <w:t> </w:t>
            </w:r>
          </w:p>
        </w:tc>
      </w:tr>
      <w:tr>
        <w:trPr/>
        <w:tc>
          <w:tcPr>
            <w:tcW w:w="6838" w:type="dxa"/>
            <w:tcBorders/>
          </w:tcPr>
          <w:p>
            <w:pPr>
              <w:pStyle w:val="TableContents"/>
              <w:bidi w:val="0"/>
              <w:spacing w:before="0" w:after="0"/>
              <w:jc w:val="left"/>
              <w:rPr>
                <w:rFonts w:ascii="Times New Roman" w:hAnsi="Times New Roman"/>
                <w:b/>
                <w:sz w:val="20"/>
              </w:rPr>
            </w:pPr>
            <w:r>
              <w:rPr>
                <w:rFonts w:ascii="Times New Roman" w:hAnsi="Times New Roman"/>
                <w:b/>
                <w:sz w:val="20"/>
              </w:rPr>
              <w:t>Net Interest Expense</w:t>
            </w:r>
          </w:p>
        </w:tc>
        <w:tc>
          <w:tcPr>
            <w:tcW w:w="13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5" w:type="dxa"/>
            <w:tcBorders/>
            <w:vAlign w:val="bottom"/>
          </w:tcPr>
          <w:p>
            <w:pPr>
              <w:pStyle w:val="TableContents"/>
              <w:bidi w:val="0"/>
              <w:spacing w:before="0" w:after="283"/>
              <w:jc w:val="right"/>
              <w:rPr/>
            </w:pPr>
            <w:r>
              <w:rPr/>
              <w:t>144,500</w:t>
            </w:r>
          </w:p>
        </w:tc>
        <w:tc>
          <w:tcPr>
            <w:tcW w:w="107"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254" w:type="dxa"/>
            <w:tcBorders/>
          </w:tcPr>
          <w:p>
            <w:pPr>
              <w:pStyle w:val="TableContents"/>
              <w:bidi w:val="0"/>
              <w:spacing w:before="0" w:after="283"/>
              <w:jc w:val="left"/>
              <w:rPr>
                <w:sz w:val="4"/>
                <w:szCs w:val="4"/>
              </w:rPr>
            </w:pPr>
            <w:r>
              <w:rPr>
                <w:sz w:val="4"/>
                <w:szCs w:val="4"/>
              </w:rPr>
            </w:r>
          </w:p>
        </w:tc>
        <w:tc>
          <w:tcPr>
            <w:tcW w:w="2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5" w:type="dxa"/>
            <w:tcBorders/>
            <w:vAlign w:val="bottom"/>
          </w:tcPr>
          <w:p>
            <w:pPr>
              <w:pStyle w:val="TableContents"/>
              <w:bidi w:val="0"/>
              <w:spacing w:before="0" w:after="283"/>
              <w:jc w:val="right"/>
              <w:rPr/>
            </w:pPr>
            <w:r>
              <w:rPr/>
              <w:t>145,500</w:t>
            </w:r>
          </w:p>
        </w:tc>
        <w:tc>
          <w:tcPr>
            <w:tcW w:w="196" w:type="dxa"/>
            <w:tcBorders/>
            <w:vAlign w:val="bottom"/>
          </w:tcPr>
          <w:p>
            <w:pPr>
              <w:pStyle w:val="TableContents"/>
              <w:bidi w:val="0"/>
              <w:spacing w:before="0" w:after="283"/>
              <w:jc w:val="left"/>
              <w:rPr/>
            </w:pPr>
            <w:r>
              <w:rPr/>
              <w:t> </w:t>
            </w:r>
          </w:p>
        </w:tc>
      </w:tr>
      <w:tr>
        <w:trPr/>
        <w:tc>
          <w:tcPr>
            <w:tcW w:w="683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Income Taxes</w:t>
            </w:r>
          </w:p>
          <w:p>
            <w:pPr>
              <w:pStyle w:val="TableContents"/>
              <w:bidi w:val="0"/>
              <w:spacing w:before="0" w:after="20"/>
              <w:jc w:val="left"/>
              <w:rPr>
                <w:rFonts w:ascii="Times New Roman" w:hAnsi="Times New Roman"/>
                <w:b/>
                <w:i/>
                <w:sz w:val="20"/>
              </w:rPr>
            </w:pPr>
            <w:r>
              <w:rPr>
                <w:rFonts w:ascii="Times New Roman" w:hAnsi="Times New Roman"/>
                <w:b/>
                <w:i/>
                <w:sz w:val="20"/>
              </w:rPr>
              <w:t>(including income tax provision on equity in earnings of affiliates)</w:t>
            </w:r>
          </w:p>
        </w:tc>
        <w:tc>
          <w:tcPr>
            <w:tcW w:w="13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5" w:type="dxa"/>
            <w:tcBorders/>
            <w:shd w:fill="CCEEFF" w:val="clear"/>
            <w:vAlign w:val="bottom"/>
          </w:tcPr>
          <w:p>
            <w:pPr>
              <w:pStyle w:val="TableContents"/>
              <w:bidi w:val="0"/>
              <w:spacing w:before="0" w:after="283"/>
              <w:jc w:val="right"/>
              <w:rPr/>
            </w:pPr>
            <w:r>
              <w:rPr/>
              <w:t>63,650</w:t>
            </w:r>
          </w:p>
        </w:tc>
        <w:tc>
          <w:tcPr>
            <w:tcW w:w="107"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254" w:type="dxa"/>
            <w:tcBorders/>
            <w:shd w:fill="CCEEFF" w:val="clear"/>
          </w:tcPr>
          <w:p>
            <w:pPr>
              <w:pStyle w:val="TableContents"/>
              <w:bidi w:val="0"/>
              <w:spacing w:before="0" w:after="283"/>
              <w:jc w:val="left"/>
              <w:rPr>
                <w:sz w:val="4"/>
                <w:szCs w:val="4"/>
              </w:rPr>
            </w:pPr>
            <w:r>
              <w:rPr>
                <w:sz w:val="4"/>
                <w:szCs w:val="4"/>
              </w:rPr>
            </w:r>
          </w:p>
        </w:tc>
        <w:tc>
          <w:tcPr>
            <w:tcW w:w="2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5" w:type="dxa"/>
            <w:tcBorders/>
            <w:shd w:fill="CCEEFF" w:val="clear"/>
            <w:vAlign w:val="bottom"/>
          </w:tcPr>
          <w:p>
            <w:pPr>
              <w:pStyle w:val="TableContents"/>
              <w:bidi w:val="0"/>
              <w:spacing w:before="0" w:after="283"/>
              <w:jc w:val="right"/>
              <w:rPr/>
            </w:pPr>
            <w:r>
              <w:rPr/>
              <w:t>68,150</w:t>
            </w:r>
          </w:p>
        </w:tc>
        <w:tc>
          <w:tcPr>
            <w:tcW w:w="196" w:type="dxa"/>
            <w:tcBorders/>
            <w:shd w:fill="CCEEFF" w:val="clear"/>
            <w:vAlign w:val="bottom"/>
          </w:tcPr>
          <w:p>
            <w:pPr>
              <w:pStyle w:val="TableContents"/>
              <w:bidi w:val="0"/>
              <w:spacing w:before="0" w:after="283"/>
              <w:jc w:val="left"/>
              <w:rPr/>
            </w:pPr>
            <w:r>
              <w:rPr/>
              <w:t> </w:t>
            </w:r>
          </w:p>
        </w:tc>
      </w:tr>
      <w:tr>
        <w:trPr/>
        <w:tc>
          <w:tcPr>
            <w:tcW w:w="6838" w:type="dxa"/>
            <w:tcBorders/>
          </w:tcPr>
          <w:p>
            <w:pPr>
              <w:pStyle w:val="TableContents"/>
              <w:bidi w:val="0"/>
              <w:spacing w:before="0" w:after="0"/>
              <w:jc w:val="left"/>
              <w:rPr>
                <w:rFonts w:ascii="Times New Roman" w:hAnsi="Times New Roman"/>
                <w:b/>
                <w:sz w:val="20"/>
              </w:rPr>
            </w:pPr>
            <w:r>
              <w:rPr>
                <w:rFonts w:ascii="Times New Roman" w:hAnsi="Times New Roman"/>
                <w:b/>
                <w:sz w:val="20"/>
              </w:rPr>
              <w:t>Depreciation and Amortization</w:t>
            </w:r>
          </w:p>
        </w:tc>
        <w:tc>
          <w:tcPr>
            <w:tcW w:w="13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5" w:type="dxa"/>
            <w:tcBorders/>
            <w:vAlign w:val="bottom"/>
          </w:tcPr>
          <w:p>
            <w:pPr>
              <w:pStyle w:val="TableContents"/>
              <w:bidi w:val="0"/>
              <w:spacing w:before="0" w:after="283"/>
              <w:jc w:val="right"/>
              <w:rPr/>
            </w:pPr>
            <w:r>
              <w:rPr/>
              <w:t>139,000</w:t>
            </w:r>
          </w:p>
        </w:tc>
        <w:tc>
          <w:tcPr>
            <w:tcW w:w="107"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254" w:type="dxa"/>
            <w:tcBorders/>
          </w:tcPr>
          <w:p>
            <w:pPr>
              <w:pStyle w:val="TableContents"/>
              <w:bidi w:val="0"/>
              <w:spacing w:before="0" w:after="283"/>
              <w:jc w:val="left"/>
              <w:rPr>
                <w:sz w:val="4"/>
                <w:szCs w:val="4"/>
              </w:rPr>
            </w:pPr>
            <w:r>
              <w:rPr>
                <w:sz w:val="4"/>
                <w:szCs w:val="4"/>
              </w:rPr>
            </w:r>
          </w:p>
        </w:tc>
        <w:tc>
          <w:tcPr>
            <w:tcW w:w="2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5" w:type="dxa"/>
            <w:tcBorders/>
            <w:vAlign w:val="bottom"/>
          </w:tcPr>
          <w:p>
            <w:pPr>
              <w:pStyle w:val="TableContents"/>
              <w:bidi w:val="0"/>
              <w:spacing w:before="0" w:after="283"/>
              <w:jc w:val="right"/>
              <w:rPr/>
            </w:pPr>
            <w:r>
              <w:rPr/>
              <w:t>140,500</w:t>
            </w:r>
          </w:p>
        </w:tc>
        <w:tc>
          <w:tcPr>
            <w:tcW w:w="196" w:type="dxa"/>
            <w:tcBorders/>
            <w:vAlign w:val="bottom"/>
          </w:tcPr>
          <w:p>
            <w:pPr>
              <w:pStyle w:val="TableContents"/>
              <w:bidi w:val="0"/>
              <w:spacing w:before="0" w:after="283"/>
              <w:jc w:val="left"/>
              <w:rPr/>
            </w:pPr>
            <w:r>
              <w:rPr/>
              <w:t> </w:t>
            </w:r>
          </w:p>
        </w:tc>
      </w:tr>
      <w:tr>
        <w:trPr/>
        <w:tc>
          <w:tcPr>
            <w:tcW w:w="683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Non-Cash Stock Based Compensation</w:t>
            </w:r>
          </w:p>
        </w:tc>
        <w:tc>
          <w:tcPr>
            <w:tcW w:w="13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5" w:type="dxa"/>
            <w:tcBorders/>
            <w:shd w:fill="CCEEFF" w:val="clear"/>
            <w:vAlign w:val="bottom"/>
          </w:tcPr>
          <w:p>
            <w:pPr>
              <w:pStyle w:val="TableContents"/>
              <w:bidi w:val="0"/>
              <w:spacing w:before="0" w:after="283"/>
              <w:jc w:val="right"/>
              <w:rPr/>
            </w:pPr>
            <w:r>
              <w:rPr/>
              <w:t>23,500</w:t>
            </w:r>
          </w:p>
        </w:tc>
        <w:tc>
          <w:tcPr>
            <w:tcW w:w="107"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254" w:type="dxa"/>
            <w:tcBorders/>
            <w:shd w:fill="CCEEFF" w:val="clear"/>
          </w:tcPr>
          <w:p>
            <w:pPr>
              <w:pStyle w:val="TableContents"/>
              <w:bidi w:val="0"/>
              <w:spacing w:before="0" w:after="283"/>
              <w:jc w:val="left"/>
              <w:rPr>
                <w:sz w:val="4"/>
                <w:szCs w:val="4"/>
              </w:rPr>
            </w:pPr>
            <w:r>
              <w:rPr>
                <w:sz w:val="4"/>
                <w:szCs w:val="4"/>
              </w:rPr>
            </w:r>
          </w:p>
        </w:tc>
        <w:tc>
          <w:tcPr>
            <w:tcW w:w="2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5" w:type="dxa"/>
            <w:tcBorders/>
            <w:shd w:fill="CCEEFF" w:val="clear"/>
            <w:vAlign w:val="bottom"/>
          </w:tcPr>
          <w:p>
            <w:pPr>
              <w:pStyle w:val="TableContents"/>
              <w:bidi w:val="0"/>
              <w:spacing w:before="0" w:after="283"/>
              <w:jc w:val="right"/>
              <w:rPr/>
            </w:pPr>
            <w:r>
              <w:rPr/>
              <w:t>23,500</w:t>
            </w:r>
          </w:p>
        </w:tc>
        <w:tc>
          <w:tcPr>
            <w:tcW w:w="196" w:type="dxa"/>
            <w:tcBorders/>
            <w:shd w:fill="CCEEFF" w:val="clear"/>
            <w:vAlign w:val="bottom"/>
          </w:tcPr>
          <w:p>
            <w:pPr>
              <w:pStyle w:val="TableContents"/>
              <w:bidi w:val="0"/>
              <w:spacing w:before="0" w:after="283"/>
              <w:jc w:val="left"/>
              <w:rPr/>
            </w:pPr>
            <w:r>
              <w:rPr/>
              <w:t> </w:t>
            </w:r>
          </w:p>
        </w:tc>
      </w:tr>
      <w:tr>
        <w:trPr/>
        <w:tc>
          <w:tcPr>
            <w:tcW w:w="6838" w:type="dxa"/>
            <w:tcBorders/>
          </w:tcPr>
          <w:p>
            <w:pPr>
              <w:pStyle w:val="TableContents"/>
              <w:bidi w:val="0"/>
              <w:spacing w:before="0" w:after="0"/>
              <w:jc w:val="left"/>
              <w:rPr>
                <w:rFonts w:ascii="Times New Roman" w:hAnsi="Times New Roman"/>
                <w:b/>
                <w:sz w:val="20"/>
              </w:rPr>
            </w:pPr>
            <w:r>
              <w:rPr>
                <w:rFonts w:ascii="Times New Roman" w:hAnsi="Times New Roman"/>
                <w:b/>
                <w:sz w:val="20"/>
              </w:rPr>
              <w:t>Other Non-Cash</w:t>
            </w:r>
          </w:p>
        </w:tc>
        <w:tc>
          <w:tcPr>
            <w:tcW w:w="13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5" w:type="dxa"/>
            <w:tcBorders/>
            <w:vAlign w:val="bottom"/>
          </w:tcPr>
          <w:p>
            <w:pPr>
              <w:pStyle w:val="TableContents"/>
              <w:bidi w:val="0"/>
              <w:spacing w:before="0" w:after="283"/>
              <w:jc w:val="right"/>
              <w:rPr/>
            </w:pPr>
            <w:r>
              <w:rPr/>
              <w:t>1,350</w:t>
            </w:r>
          </w:p>
        </w:tc>
        <w:tc>
          <w:tcPr>
            <w:tcW w:w="107"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254" w:type="dxa"/>
            <w:tcBorders/>
          </w:tcPr>
          <w:p>
            <w:pPr>
              <w:pStyle w:val="TableContents"/>
              <w:bidi w:val="0"/>
              <w:spacing w:before="0" w:after="283"/>
              <w:jc w:val="left"/>
              <w:rPr>
                <w:sz w:val="4"/>
                <w:szCs w:val="4"/>
              </w:rPr>
            </w:pPr>
            <w:r>
              <w:rPr>
                <w:sz w:val="4"/>
                <w:szCs w:val="4"/>
              </w:rPr>
            </w:r>
          </w:p>
        </w:tc>
        <w:tc>
          <w:tcPr>
            <w:tcW w:w="2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5" w:type="dxa"/>
            <w:tcBorders/>
            <w:vAlign w:val="bottom"/>
          </w:tcPr>
          <w:p>
            <w:pPr>
              <w:pStyle w:val="TableContents"/>
              <w:bidi w:val="0"/>
              <w:spacing w:before="0" w:after="283"/>
              <w:jc w:val="right"/>
              <w:rPr/>
            </w:pPr>
            <w:r>
              <w:rPr/>
              <w:t>1,350</w:t>
            </w:r>
          </w:p>
        </w:tc>
        <w:tc>
          <w:tcPr>
            <w:tcW w:w="196" w:type="dxa"/>
            <w:tcBorders/>
            <w:vAlign w:val="bottom"/>
          </w:tcPr>
          <w:p>
            <w:pPr>
              <w:pStyle w:val="TableContents"/>
              <w:bidi w:val="0"/>
              <w:spacing w:before="0" w:after="283"/>
              <w:jc w:val="left"/>
              <w:rPr/>
            </w:pPr>
            <w:r>
              <w:rPr/>
              <w:t> </w:t>
            </w:r>
          </w:p>
        </w:tc>
      </w:tr>
      <w:tr>
        <w:trPr/>
        <w:tc>
          <w:tcPr>
            <w:tcW w:w="6838" w:type="dxa"/>
            <w:tcBorders/>
            <w:vAlign w:val="bottom"/>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5" w:type="dxa"/>
            <w:tcBorders/>
            <w:vAlign w:val="bottom"/>
          </w:tcPr>
          <w:p>
            <w:pPr>
              <w:pStyle w:val="TableContents"/>
              <w:pBdr>
                <w:top w:val="single" w:sz="2" w:space="1" w:color="000000"/>
              </w:pBdr>
              <w:bidi w:val="0"/>
              <w:spacing w:before="0" w:after="0"/>
              <w:jc w:val="left"/>
              <w:rPr/>
            </w:pPr>
            <w:r>
              <w:rPr/>
              <w:t> </w:t>
            </w:r>
          </w:p>
        </w:tc>
        <w:tc>
          <w:tcPr>
            <w:tcW w:w="107" w:type="dxa"/>
            <w:tcBorders/>
            <w:vAlign w:val="center"/>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sz w:val="4"/>
                <w:szCs w:val="4"/>
              </w:rPr>
            </w:pPr>
            <w:r>
              <w:rPr>
                <w:sz w:val="4"/>
                <w:szCs w:val="4"/>
              </w:rPr>
            </w:r>
          </w:p>
        </w:tc>
        <w:tc>
          <w:tcPr>
            <w:tcW w:w="21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5" w:type="dxa"/>
            <w:tcBorders/>
            <w:vAlign w:val="bottom"/>
          </w:tcPr>
          <w:p>
            <w:pPr>
              <w:pStyle w:val="TableContents"/>
              <w:pBdr>
                <w:top w:val="single" w:sz="2" w:space="1" w:color="000000"/>
              </w:pBdr>
              <w:bidi w:val="0"/>
              <w:spacing w:before="0" w:after="0"/>
              <w:jc w:val="left"/>
              <w:rPr/>
            </w:pPr>
            <w:r>
              <w:rPr/>
              <w:t> </w:t>
            </w:r>
          </w:p>
        </w:tc>
        <w:tc>
          <w:tcPr>
            <w:tcW w:w="196" w:type="dxa"/>
            <w:tcBorders/>
            <w:vAlign w:val="center"/>
          </w:tcPr>
          <w:p>
            <w:pPr>
              <w:pStyle w:val="TableContents"/>
              <w:bidi w:val="0"/>
              <w:spacing w:before="0" w:after="283"/>
              <w:jc w:val="left"/>
              <w:rPr/>
            </w:pPr>
            <w:r>
              <w:rPr/>
              <w:t> </w:t>
            </w:r>
          </w:p>
        </w:tc>
      </w:tr>
      <w:tr>
        <w:trPr/>
        <w:tc>
          <w:tcPr>
            <w:tcW w:w="683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Adjusted EBITDA</w:t>
            </w:r>
          </w:p>
        </w:tc>
        <w:tc>
          <w:tcPr>
            <w:tcW w:w="13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985" w:type="dxa"/>
            <w:tcBorders/>
            <w:shd w:fill="CCEEFF" w:val="clear"/>
            <w:vAlign w:val="bottom"/>
          </w:tcPr>
          <w:p>
            <w:pPr>
              <w:pStyle w:val="TableContents"/>
              <w:bidi w:val="0"/>
              <w:spacing w:before="0" w:after="283"/>
              <w:jc w:val="right"/>
              <w:rPr>
                <w:b/>
              </w:rPr>
            </w:pPr>
            <w:r>
              <w:rPr>
                <w:b/>
              </w:rPr>
              <w:t>525,000</w:t>
            </w:r>
          </w:p>
        </w:tc>
        <w:tc>
          <w:tcPr>
            <w:tcW w:w="107"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center"/>
              <w:rPr/>
            </w:pPr>
            <w:r>
              <w:rPr/>
              <w:t>to</w:t>
            </w:r>
          </w:p>
        </w:tc>
        <w:tc>
          <w:tcPr>
            <w:tcW w:w="2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985" w:type="dxa"/>
            <w:tcBorders/>
            <w:shd w:fill="CCEEFF" w:val="clear"/>
            <w:vAlign w:val="bottom"/>
          </w:tcPr>
          <w:p>
            <w:pPr>
              <w:pStyle w:val="TableContents"/>
              <w:bidi w:val="0"/>
              <w:spacing w:before="0" w:after="283"/>
              <w:jc w:val="right"/>
              <w:rPr>
                <w:b/>
              </w:rPr>
            </w:pPr>
            <w:r>
              <w:rPr>
                <w:b/>
              </w:rPr>
              <w:t>545,000</w:t>
            </w:r>
          </w:p>
        </w:tc>
        <w:tc>
          <w:tcPr>
            <w:tcW w:w="196" w:type="dxa"/>
            <w:tcBorders/>
            <w:shd w:fill="CCEEFF" w:val="clear"/>
            <w:vAlign w:val="bottom"/>
          </w:tcPr>
          <w:p>
            <w:pPr>
              <w:pStyle w:val="TableContents"/>
              <w:bidi w:val="0"/>
              <w:spacing w:before="0" w:after="283"/>
              <w:jc w:val="left"/>
              <w:rPr/>
            </w:pPr>
            <w:r>
              <w:rPr/>
              <w:t> </w:t>
            </w:r>
          </w:p>
        </w:tc>
      </w:tr>
      <w:tr>
        <w:trPr/>
        <w:tc>
          <w:tcPr>
            <w:tcW w:w="6838" w:type="dxa"/>
            <w:tcBorders/>
            <w:vAlign w:val="bottom"/>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5" w:type="dxa"/>
            <w:tcBorders/>
            <w:vAlign w:val="bottom"/>
          </w:tcPr>
          <w:p>
            <w:pPr>
              <w:pStyle w:val="TableContents"/>
              <w:pBdr>
                <w:top w:val="single" w:sz="2" w:space="1" w:color="000000"/>
              </w:pBdr>
              <w:bidi w:val="0"/>
              <w:spacing w:before="0" w:after="0"/>
              <w:jc w:val="left"/>
              <w:rPr/>
            </w:pPr>
            <w:r>
              <w:rPr/>
              <w:t> </w:t>
            </w:r>
          </w:p>
        </w:tc>
        <w:tc>
          <w:tcPr>
            <w:tcW w:w="107" w:type="dxa"/>
            <w:tcBorders/>
            <w:vAlign w:val="center"/>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sz w:val="4"/>
                <w:szCs w:val="4"/>
              </w:rPr>
            </w:pPr>
            <w:r>
              <w:rPr>
                <w:sz w:val="4"/>
                <w:szCs w:val="4"/>
              </w:rPr>
            </w:r>
          </w:p>
        </w:tc>
        <w:tc>
          <w:tcPr>
            <w:tcW w:w="21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5" w:type="dxa"/>
            <w:tcBorders/>
            <w:vAlign w:val="bottom"/>
          </w:tcPr>
          <w:p>
            <w:pPr>
              <w:pStyle w:val="TableContents"/>
              <w:pBdr>
                <w:top w:val="single" w:sz="2" w:space="1" w:color="000000"/>
              </w:pBdr>
              <w:bidi w:val="0"/>
              <w:spacing w:before="0" w:after="0"/>
              <w:jc w:val="left"/>
              <w:rPr/>
            </w:pPr>
            <w:r>
              <w:rPr/>
              <w:t> </w:t>
            </w:r>
          </w:p>
        </w:tc>
        <w:tc>
          <w:tcPr>
            <w:tcW w:w="196" w:type="dxa"/>
            <w:tcBorders/>
            <w:vAlign w:val="center"/>
          </w:tcPr>
          <w:p>
            <w:pPr>
              <w:pStyle w:val="TableContents"/>
              <w:bidi w:val="0"/>
              <w:spacing w:before="0" w:after="283"/>
              <w:jc w:val="left"/>
              <w:rPr/>
            </w:pPr>
            <w:r>
              <w:rPr/>
              <w:t> </w:t>
            </w:r>
          </w:p>
        </w:tc>
      </w:tr>
      <w:tr>
        <w:trPr/>
        <w:tc>
          <w:tcPr>
            <w:tcW w:w="6838" w:type="dxa"/>
            <w:tcBorders/>
          </w:tcPr>
          <w:p>
            <w:pPr>
              <w:pStyle w:val="TableContents"/>
              <w:bidi w:val="0"/>
              <w:spacing w:before="0" w:after="0"/>
              <w:jc w:val="left"/>
              <w:rPr>
                <w:rFonts w:ascii="Times New Roman" w:hAnsi="Times New Roman"/>
                <w:b/>
                <w:sz w:val="20"/>
              </w:rPr>
            </w:pPr>
            <w:r>
              <w:rPr>
                <w:rFonts w:ascii="Times New Roman" w:hAnsi="Times New Roman"/>
                <w:b/>
                <w:sz w:val="20"/>
              </w:rPr>
              <w:t>Net Income Attributable to GEO Operations Per Diluted Share</w:t>
            </w:r>
          </w:p>
        </w:tc>
        <w:tc>
          <w:tcPr>
            <w:tcW w:w="13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985" w:type="dxa"/>
            <w:tcBorders/>
            <w:vAlign w:val="bottom"/>
          </w:tcPr>
          <w:p>
            <w:pPr>
              <w:pStyle w:val="TableContents"/>
              <w:bidi w:val="0"/>
              <w:spacing w:before="0" w:after="283"/>
              <w:jc w:val="right"/>
              <w:rPr>
                <w:b/>
              </w:rPr>
            </w:pPr>
            <w:r>
              <w:rPr>
                <w:b/>
              </w:rPr>
              <w:t>1.15</w:t>
            </w:r>
          </w:p>
        </w:tc>
        <w:tc>
          <w:tcPr>
            <w:tcW w:w="107"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center"/>
              <w:rPr/>
            </w:pPr>
            <w:r>
              <w:rPr/>
              <w:t>to</w:t>
            </w:r>
          </w:p>
        </w:tc>
        <w:tc>
          <w:tcPr>
            <w:tcW w:w="2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985" w:type="dxa"/>
            <w:tcBorders/>
            <w:vAlign w:val="bottom"/>
          </w:tcPr>
          <w:p>
            <w:pPr>
              <w:pStyle w:val="TableContents"/>
              <w:bidi w:val="0"/>
              <w:spacing w:before="0" w:after="283"/>
              <w:jc w:val="right"/>
              <w:rPr>
                <w:b/>
              </w:rPr>
            </w:pPr>
            <w:r>
              <w:rPr>
                <w:b/>
              </w:rPr>
              <w:t>1.25</w:t>
            </w:r>
          </w:p>
        </w:tc>
        <w:tc>
          <w:tcPr>
            <w:tcW w:w="196" w:type="dxa"/>
            <w:tcBorders/>
            <w:vAlign w:val="bottom"/>
          </w:tcPr>
          <w:p>
            <w:pPr>
              <w:pStyle w:val="TableContents"/>
              <w:bidi w:val="0"/>
              <w:spacing w:before="0" w:after="283"/>
              <w:jc w:val="left"/>
              <w:rPr/>
            </w:pPr>
            <w:r>
              <w:rPr/>
              <w:t> </w:t>
            </w:r>
          </w:p>
        </w:tc>
      </w:tr>
      <w:tr>
        <w:trPr/>
        <w:tc>
          <w:tcPr>
            <w:tcW w:w="683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Weighted Average Common Shares Outstanding-Diluted</w:t>
            </w:r>
          </w:p>
        </w:tc>
        <w:tc>
          <w:tcPr>
            <w:tcW w:w="13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5" w:type="dxa"/>
            <w:tcBorders/>
            <w:shd w:fill="CCEEFF" w:val="clear"/>
            <w:vAlign w:val="bottom"/>
          </w:tcPr>
          <w:p>
            <w:pPr>
              <w:pStyle w:val="TableContents"/>
              <w:bidi w:val="0"/>
              <w:spacing w:before="0" w:after="283"/>
              <w:jc w:val="right"/>
              <w:rPr/>
            </w:pPr>
            <w:r>
              <w:rPr/>
              <w:t>133,000</w:t>
            </w:r>
          </w:p>
        </w:tc>
        <w:tc>
          <w:tcPr>
            <w:tcW w:w="107"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254" w:type="dxa"/>
            <w:tcBorders/>
            <w:shd w:fill="CCEEFF" w:val="clear"/>
          </w:tcPr>
          <w:p>
            <w:pPr>
              <w:pStyle w:val="TableContents"/>
              <w:bidi w:val="0"/>
              <w:spacing w:before="0" w:after="283"/>
              <w:jc w:val="left"/>
              <w:rPr>
                <w:sz w:val="4"/>
                <w:szCs w:val="4"/>
              </w:rPr>
            </w:pPr>
            <w:r>
              <w:rPr>
                <w:sz w:val="4"/>
                <w:szCs w:val="4"/>
              </w:rPr>
            </w:r>
          </w:p>
        </w:tc>
        <w:tc>
          <w:tcPr>
            <w:tcW w:w="2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5" w:type="dxa"/>
            <w:tcBorders/>
            <w:shd w:fill="CCEEFF" w:val="clear"/>
            <w:vAlign w:val="bottom"/>
          </w:tcPr>
          <w:p>
            <w:pPr>
              <w:pStyle w:val="TableContents"/>
              <w:bidi w:val="0"/>
              <w:spacing w:before="0" w:after="283"/>
              <w:jc w:val="right"/>
              <w:rPr/>
            </w:pPr>
            <w:r>
              <w:rPr/>
              <w:t>133,000</w:t>
            </w:r>
          </w:p>
        </w:tc>
        <w:tc>
          <w:tcPr>
            <w:tcW w:w="196" w:type="dxa"/>
            <w:tcBorders/>
            <w:shd w:fill="CCEEFF" w:val="clear"/>
            <w:vAlign w:val="bottom"/>
          </w:tcPr>
          <w:p>
            <w:pPr>
              <w:pStyle w:val="TableContents"/>
              <w:bidi w:val="0"/>
              <w:spacing w:before="0" w:after="283"/>
              <w:jc w:val="left"/>
              <w:rPr/>
            </w:pPr>
            <w:r>
              <w:rPr/>
              <w:t> </w:t>
            </w:r>
          </w:p>
        </w:tc>
      </w:tr>
      <w:tr>
        <w:trPr/>
        <w:tc>
          <w:tcPr>
            <w:tcW w:w="6838" w:type="dxa"/>
            <w:tcBorders/>
          </w:tcPr>
          <w:p>
            <w:pPr>
              <w:pStyle w:val="TableContents"/>
              <w:bidi w:val="0"/>
              <w:spacing w:before="0" w:after="0"/>
              <w:jc w:val="left"/>
              <w:rPr>
                <w:rFonts w:ascii="Times New Roman" w:hAnsi="Times New Roman"/>
                <w:b/>
                <w:sz w:val="20"/>
              </w:rPr>
            </w:pPr>
            <w:r>
              <w:rPr>
                <w:rFonts w:ascii="Times New Roman" w:hAnsi="Times New Roman"/>
                <w:b/>
                <w:sz w:val="20"/>
              </w:rPr>
              <w:t>CAPEX</w:t>
            </w:r>
          </w:p>
        </w:tc>
        <w:tc>
          <w:tcPr>
            <w:tcW w:w="13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5" w:type="dxa"/>
            <w:tcBorders/>
            <w:vAlign w:val="bottom"/>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214" w:type="dxa"/>
            <w:tcBorders/>
            <w:vAlign w:val="bottom"/>
          </w:tcPr>
          <w:p>
            <w:pPr>
              <w:pStyle w:val="TableContents"/>
              <w:bidi w:val="0"/>
              <w:spacing w:before="0" w:after="283"/>
              <w:jc w:val="left"/>
              <w:rPr/>
            </w:pPr>
            <w:r>
              <w:rPr/>
              <w:t>  </w:t>
            </w:r>
          </w:p>
        </w:tc>
        <w:tc>
          <w:tcPr>
            <w:tcW w:w="254" w:type="dxa"/>
            <w:tcBorders/>
          </w:tcPr>
          <w:p>
            <w:pPr>
              <w:pStyle w:val="TableContents"/>
              <w:bidi w:val="0"/>
              <w:spacing w:before="0" w:after="283"/>
              <w:jc w:val="left"/>
              <w:rPr>
                <w:sz w:val="4"/>
                <w:szCs w:val="4"/>
              </w:rPr>
            </w:pPr>
            <w:r>
              <w:rPr>
                <w:sz w:val="4"/>
                <w:szCs w:val="4"/>
              </w:rPr>
            </w:r>
          </w:p>
        </w:tc>
        <w:tc>
          <w:tcPr>
            <w:tcW w:w="2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5" w:type="dxa"/>
            <w:tcBorders/>
            <w:vAlign w:val="bottom"/>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sz w:val="4"/>
                <w:szCs w:val="4"/>
              </w:rPr>
            </w:pPr>
            <w:r>
              <w:rPr>
                <w:sz w:val="4"/>
                <w:szCs w:val="4"/>
              </w:rPr>
            </w:r>
          </w:p>
        </w:tc>
      </w:tr>
      <w:tr>
        <w:trPr/>
        <w:tc>
          <w:tcPr>
            <w:tcW w:w="68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Growth</w:t>
            </w:r>
          </w:p>
        </w:tc>
        <w:tc>
          <w:tcPr>
            <w:tcW w:w="13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5" w:type="dxa"/>
            <w:tcBorders/>
            <w:shd w:fill="CCEEFF" w:val="clear"/>
            <w:vAlign w:val="bottom"/>
          </w:tcPr>
          <w:p>
            <w:pPr>
              <w:pStyle w:val="TableContents"/>
              <w:bidi w:val="0"/>
              <w:spacing w:before="0" w:after="283"/>
              <w:jc w:val="right"/>
              <w:rPr/>
            </w:pPr>
            <w:r>
              <w:rPr/>
              <w:t>20,000</w:t>
            </w:r>
          </w:p>
        </w:tc>
        <w:tc>
          <w:tcPr>
            <w:tcW w:w="107"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254" w:type="dxa"/>
            <w:tcBorders/>
            <w:shd w:fill="CCEEFF" w:val="clear"/>
          </w:tcPr>
          <w:p>
            <w:pPr>
              <w:pStyle w:val="TableContents"/>
              <w:bidi w:val="0"/>
              <w:spacing w:before="0" w:after="283"/>
              <w:jc w:val="center"/>
              <w:rPr/>
            </w:pPr>
            <w:r>
              <w:rPr/>
              <w:t>to</w:t>
            </w:r>
          </w:p>
        </w:tc>
        <w:tc>
          <w:tcPr>
            <w:tcW w:w="2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5" w:type="dxa"/>
            <w:tcBorders/>
            <w:shd w:fill="CCEEFF" w:val="clear"/>
            <w:vAlign w:val="bottom"/>
          </w:tcPr>
          <w:p>
            <w:pPr>
              <w:pStyle w:val="TableContents"/>
              <w:bidi w:val="0"/>
              <w:spacing w:before="0" w:after="283"/>
              <w:jc w:val="right"/>
              <w:rPr/>
            </w:pPr>
            <w:r>
              <w:rPr/>
              <w:t>30,000</w:t>
            </w:r>
          </w:p>
        </w:tc>
        <w:tc>
          <w:tcPr>
            <w:tcW w:w="196" w:type="dxa"/>
            <w:tcBorders/>
            <w:shd w:fill="CCEEFF" w:val="clear"/>
            <w:vAlign w:val="bottom"/>
          </w:tcPr>
          <w:p>
            <w:pPr>
              <w:pStyle w:val="TableContents"/>
              <w:bidi w:val="0"/>
              <w:spacing w:before="0" w:after="283"/>
              <w:jc w:val="left"/>
              <w:rPr/>
            </w:pPr>
            <w:r>
              <w:rPr/>
              <w:t> </w:t>
            </w:r>
          </w:p>
        </w:tc>
      </w:tr>
      <w:tr>
        <w:trPr/>
        <w:tc>
          <w:tcPr>
            <w:tcW w:w="6838" w:type="dxa"/>
            <w:tcBorders/>
          </w:tcPr>
          <w:p>
            <w:pPr>
              <w:pStyle w:val="TableContents"/>
              <w:bidi w:val="0"/>
              <w:spacing w:before="0" w:after="0"/>
              <w:jc w:val="left"/>
              <w:rPr>
                <w:rFonts w:ascii="Times New Roman" w:hAnsi="Times New Roman"/>
                <w:sz w:val="20"/>
              </w:rPr>
            </w:pPr>
            <w:r>
              <w:rPr>
                <w:rFonts w:ascii="Times New Roman" w:hAnsi="Times New Roman"/>
                <w:sz w:val="20"/>
              </w:rPr>
              <w:t>Technology</w:t>
            </w:r>
          </w:p>
        </w:tc>
        <w:tc>
          <w:tcPr>
            <w:tcW w:w="13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5" w:type="dxa"/>
            <w:tcBorders/>
            <w:vAlign w:val="bottom"/>
          </w:tcPr>
          <w:p>
            <w:pPr>
              <w:pStyle w:val="TableContents"/>
              <w:bidi w:val="0"/>
              <w:spacing w:before="0" w:after="283"/>
              <w:jc w:val="right"/>
              <w:rPr/>
            </w:pPr>
            <w:r>
              <w:rPr/>
              <w:t>27,500</w:t>
            </w:r>
          </w:p>
        </w:tc>
        <w:tc>
          <w:tcPr>
            <w:tcW w:w="107"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254" w:type="dxa"/>
            <w:tcBorders/>
          </w:tcPr>
          <w:p>
            <w:pPr>
              <w:pStyle w:val="TableContents"/>
              <w:bidi w:val="0"/>
              <w:spacing w:before="0" w:after="283"/>
              <w:jc w:val="left"/>
              <w:rPr>
                <w:sz w:val="4"/>
                <w:szCs w:val="4"/>
              </w:rPr>
            </w:pPr>
            <w:r>
              <w:rPr>
                <w:sz w:val="4"/>
                <w:szCs w:val="4"/>
              </w:rPr>
            </w:r>
          </w:p>
        </w:tc>
        <w:tc>
          <w:tcPr>
            <w:tcW w:w="2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5" w:type="dxa"/>
            <w:tcBorders/>
            <w:vAlign w:val="bottom"/>
          </w:tcPr>
          <w:p>
            <w:pPr>
              <w:pStyle w:val="TableContents"/>
              <w:bidi w:val="0"/>
              <w:spacing w:before="0" w:after="283"/>
              <w:jc w:val="right"/>
              <w:rPr/>
            </w:pPr>
            <w:r>
              <w:rPr/>
              <w:t>32,500</w:t>
            </w:r>
          </w:p>
        </w:tc>
        <w:tc>
          <w:tcPr>
            <w:tcW w:w="196" w:type="dxa"/>
            <w:tcBorders/>
            <w:vAlign w:val="bottom"/>
          </w:tcPr>
          <w:p>
            <w:pPr>
              <w:pStyle w:val="TableContents"/>
              <w:bidi w:val="0"/>
              <w:spacing w:before="0" w:after="283"/>
              <w:jc w:val="left"/>
              <w:rPr/>
            </w:pPr>
            <w:r>
              <w:rPr/>
              <w:t> </w:t>
            </w:r>
          </w:p>
        </w:tc>
      </w:tr>
      <w:tr>
        <w:trPr/>
        <w:tc>
          <w:tcPr>
            <w:tcW w:w="68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Facility Maintenance</w:t>
            </w:r>
          </w:p>
        </w:tc>
        <w:tc>
          <w:tcPr>
            <w:tcW w:w="13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5" w:type="dxa"/>
            <w:tcBorders/>
            <w:shd w:fill="CCEEFF" w:val="clear"/>
            <w:vAlign w:val="bottom"/>
          </w:tcPr>
          <w:p>
            <w:pPr>
              <w:pStyle w:val="TableContents"/>
              <w:bidi w:val="0"/>
              <w:spacing w:before="0" w:after="283"/>
              <w:jc w:val="right"/>
              <w:rPr/>
            </w:pPr>
            <w:r>
              <w:rPr/>
              <w:t>90,000</w:t>
            </w:r>
          </w:p>
        </w:tc>
        <w:tc>
          <w:tcPr>
            <w:tcW w:w="107"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254" w:type="dxa"/>
            <w:tcBorders/>
            <w:shd w:fill="CCEEFF" w:val="clear"/>
          </w:tcPr>
          <w:p>
            <w:pPr>
              <w:pStyle w:val="TableContents"/>
              <w:bidi w:val="0"/>
              <w:spacing w:before="0" w:after="283"/>
              <w:jc w:val="left"/>
              <w:rPr>
                <w:sz w:val="4"/>
                <w:szCs w:val="4"/>
              </w:rPr>
            </w:pPr>
            <w:r>
              <w:rPr>
                <w:sz w:val="4"/>
                <w:szCs w:val="4"/>
              </w:rPr>
            </w:r>
          </w:p>
        </w:tc>
        <w:tc>
          <w:tcPr>
            <w:tcW w:w="2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5" w:type="dxa"/>
            <w:tcBorders/>
            <w:shd w:fill="CCEEFF" w:val="clear"/>
            <w:vAlign w:val="bottom"/>
          </w:tcPr>
          <w:p>
            <w:pPr>
              <w:pStyle w:val="TableContents"/>
              <w:bidi w:val="0"/>
              <w:spacing w:before="0" w:after="283"/>
              <w:jc w:val="right"/>
              <w:rPr/>
            </w:pPr>
            <w:r>
              <w:rPr/>
              <w:t>100,000</w:t>
            </w:r>
          </w:p>
        </w:tc>
        <w:tc>
          <w:tcPr>
            <w:tcW w:w="196" w:type="dxa"/>
            <w:tcBorders/>
            <w:shd w:fill="CCEEFF" w:val="clear"/>
            <w:vAlign w:val="bottom"/>
          </w:tcPr>
          <w:p>
            <w:pPr>
              <w:pStyle w:val="TableContents"/>
              <w:bidi w:val="0"/>
              <w:spacing w:before="0" w:after="283"/>
              <w:jc w:val="left"/>
              <w:rPr/>
            </w:pPr>
            <w:r>
              <w:rPr/>
              <w:t> </w:t>
            </w:r>
          </w:p>
        </w:tc>
      </w:tr>
      <w:tr>
        <w:trPr/>
        <w:tc>
          <w:tcPr>
            <w:tcW w:w="6838" w:type="dxa"/>
            <w:tcBorders/>
            <w:vAlign w:val="bottom"/>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5" w:type="dxa"/>
            <w:tcBorders/>
            <w:vAlign w:val="bottom"/>
          </w:tcPr>
          <w:p>
            <w:pPr>
              <w:pStyle w:val="TableContents"/>
              <w:pBdr>
                <w:top w:val="single" w:sz="2" w:space="1" w:color="000000"/>
              </w:pBdr>
              <w:bidi w:val="0"/>
              <w:spacing w:before="0" w:after="0"/>
              <w:jc w:val="left"/>
              <w:rPr/>
            </w:pPr>
            <w:r>
              <w:rPr/>
              <w:t> </w:t>
            </w:r>
          </w:p>
        </w:tc>
        <w:tc>
          <w:tcPr>
            <w:tcW w:w="107" w:type="dxa"/>
            <w:tcBorders/>
            <w:vAlign w:val="center"/>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sz w:val="4"/>
                <w:szCs w:val="4"/>
              </w:rPr>
            </w:pPr>
            <w:r>
              <w:rPr>
                <w:sz w:val="4"/>
                <w:szCs w:val="4"/>
              </w:rPr>
            </w:r>
          </w:p>
        </w:tc>
        <w:tc>
          <w:tcPr>
            <w:tcW w:w="21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5" w:type="dxa"/>
            <w:tcBorders/>
            <w:vAlign w:val="bottom"/>
          </w:tcPr>
          <w:p>
            <w:pPr>
              <w:pStyle w:val="TableContents"/>
              <w:pBdr>
                <w:top w:val="single" w:sz="2" w:space="1" w:color="000000"/>
              </w:pBdr>
              <w:bidi w:val="0"/>
              <w:spacing w:before="0" w:after="0"/>
              <w:jc w:val="left"/>
              <w:rPr/>
            </w:pPr>
            <w:r>
              <w:rPr/>
              <w:t> </w:t>
            </w:r>
          </w:p>
        </w:tc>
        <w:tc>
          <w:tcPr>
            <w:tcW w:w="196" w:type="dxa"/>
            <w:tcBorders/>
            <w:vAlign w:val="center"/>
          </w:tcPr>
          <w:p>
            <w:pPr>
              <w:pStyle w:val="TableContents"/>
              <w:bidi w:val="0"/>
              <w:spacing w:before="0" w:after="283"/>
              <w:jc w:val="left"/>
              <w:rPr/>
            </w:pPr>
            <w:r>
              <w:rPr/>
              <w:t> </w:t>
            </w:r>
          </w:p>
        </w:tc>
      </w:tr>
      <w:tr>
        <w:trPr/>
        <w:tc>
          <w:tcPr>
            <w:tcW w:w="6838" w:type="dxa"/>
            <w:tcBorders/>
          </w:tcPr>
          <w:p>
            <w:pPr>
              <w:pStyle w:val="TableContents"/>
              <w:bidi w:val="0"/>
              <w:spacing w:before="0" w:after="0"/>
              <w:jc w:val="left"/>
              <w:rPr>
                <w:rFonts w:ascii="Times New Roman" w:hAnsi="Times New Roman"/>
                <w:b/>
                <w:sz w:val="20"/>
              </w:rPr>
            </w:pPr>
            <w:r>
              <w:rPr>
                <w:rFonts w:ascii="Times New Roman" w:hAnsi="Times New Roman"/>
                <w:b/>
                <w:sz w:val="20"/>
              </w:rPr>
              <w:t>Capital Expenditures</w:t>
            </w:r>
          </w:p>
        </w:tc>
        <w:tc>
          <w:tcPr>
            <w:tcW w:w="13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5" w:type="dxa"/>
            <w:tcBorders/>
            <w:vAlign w:val="bottom"/>
          </w:tcPr>
          <w:p>
            <w:pPr>
              <w:pStyle w:val="TableContents"/>
              <w:bidi w:val="0"/>
              <w:spacing w:before="0" w:after="283"/>
              <w:jc w:val="right"/>
              <w:rPr>
                <w:b/>
              </w:rPr>
            </w:pPr>
            <w:r>
              <w:rPr>
                <w:b/>
              </w:rPr>
              <w:t>137,500</w:t>
            </w:r>
          </w:p>
        </w:tc>
        <w:tc>
          <w:tcPr>
            <w:tcW w:w="107"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center"/>
              <w:rPr>
                <w:b/>
              </w:rPr>
            </w:pPr>
            <w:r>
              <w:rPr>
                <w:b/>
              </w:rPr>
              <w:t>to</w:t>
            </w:r>
          </w:p>
        </w:tc>
        <w:tc>
          <w:tcPr>
            <w:tcW w:w="2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5" w:type="dxa"/>
            <w:tcBorders/>
            <w:vAlign w:val="bottom"/>
          </w:tcPr>
          <w:p>
            <w:pPr>
              <w:pStyle w:val="TableContents"/>
              <w:bidi w:val="0"/>
              <w:spacing w:before="0" w:after="283"/>
              <w:jc w:val="right"/>
              <w:rPr>
                <w:b/>
              </w:rPr>
            </w:pPr>
            <w:r>
              <w:rPr>
                <w:b/>
              </w:rPr>
              <w:t>162,500</w:t>
            </w:r>
          </w:p>
        </w:tc>
        <w:tc>
          <w:tcPr>
            <w:tcW w:w="196" w:type="dxa"/>
            <w:tcBorders/>
            <w:vAlign w:val="bottom"/>
          </w:tcPr>
          <w:p>
            <w:pPr>
              <w:pStyle w:val="TableContents"/>
              <w:bidi w:val="0"/>
              <w:spacing w:before="0" w:after="283"/>
              <w:jc w:val="left"/>
              <w:rPr/>
            </w:pPr>
            <w:r>
              <w:rPr/>
              <w:t> </w:t>
            </w:r>
          </w:p>
        </w:tc>
      </w:tr>
      <w:tr>
        <w:trPr/>
        <w:tc>
          <w:tcPr>
            <w:tcW w:w="6838" w:type="dxa"/>
            <w:tcBorders/>
            <w:vAlign w:val="bottom"/>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5" w:type="dxa"/>
            <w:tcBorders/>
            <w:vAlign w:val="bottom"/>
          </w:tcPr>
          <w:p>
            <w:pPr>
              <w:pStyle w:val="TableContents"/>
              <w:pBdr>
                <w:top w:val="single" w:sz="2" w:space="1" w:color="000000"/>
              </w:pBdr>
              <w:bidi w:val="0"/>
              <w:spacing w:before="0" w:after="0"/>
              <w:jc w:val="left"/>
              <w:rPr/>
            </w:pPr>
            <w:r>
              <w:rPr/>
              <w:t> </w:t>
            </w:r>
          </w:p>
        </w:tc>
        <w:tc>
          <w:tcPr>
            <w:tcW w:w="107" w:type="dxa"/>
            <w:tcBorders/>
            <w:vAlign w:val="center"/>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sz w:val="4"/>
                <w:szCs w:val="4"/>
              </w:rPr>
            </w:pPr>
            <w:r>
              <w:rPr>
                <w:sz w:val="4"/>
                <w:szCs w:val="4"/>
              </w:rPr>
            </w:r>
          </w:p>
        </w:tc>
        <w:tc>
          <w:tcPr>
            <w:tcW w:w="21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5" w:type="dxa"/>
            <w:tcBorders/>
            <w:vAlign w:val="bottom"/>
          </w:tcPr>
          <w:p>
            <w:pPr>
              <w:pStyle w:val="TableContents"/>
              <w:pBdr>
                <w:top w:val="single" w:sz="2" w:space="1" w:color="000000"/>
              </w:pBdr>
              <w:bidi w:val="0"/>
              <w:spacing w:before="0" w:after="0"/>
              <w:jc w:val="left"/>
              <w:rPr/>
            </w:pPr>
            <w:r>
              <w:rPr/>
              <w:t> </w:t>
            </w:r>
          </w:p>
        </w:tc>
        <w:tc>
          <w:tcPr>
            <w:tcW w:w="196" w:type="dxa"/>
            <w:tcBorders/>
            <w:vAlign w:val="center"/>
          </w:tcPr>
          <w:p>
            <w:pPr>
              <w:pStyle w:val="TableContents"/>
              <w:bidi w:val="0"/>
              <w:spacing w:before="0" w:after="283"/>
              <w:jc w:val="left"/>
              <w:rPr/>
            </w:pPr>
            <w:r>
              <w:rPr/>
              <w:t> </w:t>
            </w:r>
          </w:p>
        </w:tc>
      </w:tr>
      <w:tr>
        <w:trPr/>
        <w:tc>
          <w:tcPr>
            <w:tcW w:w="683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Debt, Net</w:t>
            </w:r>
          </w:p>
        </w:tc>
        <w:tc>
          <w:tcPr>
            <w:tcW w:w="13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985" w:type="dxa"/>
            <w:tcBorders/>
            <w:shd w:fill="CCEEFF" w:val="clear"/>
            <w:vAlign w:val="bottom"/>
          </w:tcPr>
          <w:p>
            <w:pPr>
              <w:pStyle w:val="TableContents"/>
              <w:bidi w:val="0"/>
              <w:spacing w:before="0" w:after="283"/>
              <w:jc w:val="right"/>
              <w:rPr>
                <w:b/>
              </w:rPr>
            </w:pPr>
            <w:r>
              <w:rPr>
                <w:b/>
              </w:rPr>
              <w:t>1,475,000</w:t>
            </w:r>
          </w:p>
        </w:tc>
        <w:tc>
          <w:tcPr>
            <w:tcW w:w="107"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254" w:type="dxa"/>
            <w:tcBorders/>
            <w:shd w:fill="CCEEFF" w:val="clear"/>
          </w:tcPr>
          <w:p>
            <w:pPr>
              <w:pStyle w:val="TableContents"/>
              <w:bidi w:val="0"/>
              <w:spacing w:before="0" w:after="283"/>
              <w:jc w:val="left"/>
              <w:rPr>
                <w:sz w:val="4"/>
                <w:szCs w:val="4"/>
              </w:rPr>
            </w:pPr>
            <w:r>
              <w:rPr>
                <w:sz w:val="4"/>
                <w:szCs w:val="4"/>
              </w:rPr>
            </w:r>
          </w:p>
        </w:tc>
        <w:tc>
          <w:tcPr>
            <w:tcW w:w="2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985" w:type="dxa"/>
            <w:tcBorders/>
            <w:shd w:fill="CCEEFF" w:val="clear"/>
            <w:vAlign w:val="bottom"/>
          </w:tcPr>
          <w:p>
            <w:pPr>
              <w:pStyle w:val="TableContents"/>
              <w:bidi w:val="0"/>
              <w:spacing w:before="0" w:after="283"/>
              <w:jc w:val="right"/>
              <w:rPr>
                <w:b/>
              </w:rPr>
            </w:pPr>
            <w:r>
              <w:rPr>
                <w:b/>
              </w:rPr>
              <w:t>1,400,000</w:t>
            </w:r>
          </w:p>
        </w:tc>
        <w:tc>
          <w:tcPr>
            <w:tcW w:w="196" w:type="dxa"/>
            <w:tcBorders/>
            <w:shd w:fill="CCEEFF" w:val="clear"/>
            <w:vAlign w:val="bottom"/>
          </w:tcPr>
          <w:p>
            <w:pPr>
              <w:pStyle w:val="TableContents"/>
              <w:bidi w:val="0"/>
              <w:spacing w:before="0" w:after="283"/>
              <w:jc w:val="left"/>
              <w:rPr/>
            </w:pPr>
            <w:r>
              <w:rPr/>
              <w:t> </w:t>
            </w:r>
          </w:p>
        </w:tc>
      </w:tr>
      <w:tr>
        <w:trPr/>
        <w:tc>
          <w:tcPr>
            <w:tcW w:w="6838"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Leverage, Net</w:t>
            </w:r>
          </w:p>
        </w:tc>
        <w:tc>
          <w:tcPr>
            <w:tcW w:w="13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5" w:type="dxa"/>
            <w:tcBorders/>
            <w:vAlign w:val="bottom"/>
          </w:tcPr>
          <w:p>
            <w:pPr>
              <w:pStyle w:val="TableContents"/>
              <w:bidi w:val="0"/>
              <w:spacing w:before="0" w:after="283"/>
              <w:jc w:val="right"/>
              <w:rPr>
                <w:b/>
              </w:rPr>
            </w:pPr>
            <w:r>
              <w:rPr>
                <w:b/>
              </w:rPr>
              <w:t>2.8</w:t>
            </w:r>
          </w:p>
        </w:tc>
        <w:tc>
          <w:tcPr>
            <w:tcW w:w="107"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254" w:type="dxa"/>
            <w:tcBorders/>
          </w:tcPr>
          <w:p>
            <w:pPr>
              <w:pStyle w:val="TableContents"/>
              <w:bidi w:val="0"/>
              <w:spacing w:before="0" w:after="283"/>
              <w:jc w:val="left"/>
              <w:rPr>
                <w:sz w:val="4"/>
                <w:szCs w:val="4"/>
              </w:rPr>
            </w:pPr>
            <w:r>
              <w:rPr>
                <w:sz w:val="4"/>
                <w:szCs w:val="4"/>
              </w:rPr>
            </w:r>
          </w:p>
        </w:tc>
        <w:tc>
          <w:tcPr>
            <w:tcW w:w="2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5" w:type="dxa"/>
            <w:tcBorders/>
            <w:vAlign w:val="bottom"/>
          </w:tcPr>
          <w:p>
            <w:pPr>
              <w:pStyle w:val="TableContents"/>
              <w:bidi w:val="0"/>
              <w:spacing w:before="0" w:after="283"/>
              <w:jc w:val="right"/>
              <w:rPr>
                <w:b/>
              </w:rPr>
            </w:pPr>
            <w:r>
              <w:rPr>
                <w:b/>
              </w:rPr>
              <w:t>2.6</w:t>
            </w:r>
          </w:p>
        </w:tc>
        <w:tc>
          <w:tcPr>
            <w:tcW w:w="196"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b/>
          <w:sz w:val="20"/>
        </w:rPr>
        <w:t xml:space="preserve">Note: </w:t>
      </w:r>
      <w:r>
        <w:rPr>
          <w:rFonts w:ascii="Times New Roman" w:hAnsi="Times New Roman"/>
          <w:sz w:val="20"/>
        </w:rPr>
        <w:t xml:space="preserve">The above outlook does not include the impact of any potential impact related to one-time legal settlements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606"/>
        <w:gridCol w:w="123"/>
        <w:gridCol w:w="3215"/>
        <w:gridCol w:w="123"/>
        <w:gridCol w:w="3138"/>
      </w:tblGrid>
      <w:tr>
        <w:trPr/>
        <w:tc>
          <w:tcPr>
            <w:tcW w:w="3606"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215"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138" w:type="dxa"/>
            <w:tcBorders/>
            <w:vAlign w:val="center"/>
          </w:tcPr>
          <w:p>
            <w:pPr>
              <w:pStyle w:val="TableContents"/>
              <w:bidi w:val="0"/>
              <w:spacing w:before="0" w:after="283"/>
              <w:jc w:val="left"/>
              <w:rPr>
                <w:sz w:val="4"/>
                <w:szCs w:val="4"/>
              </w:rPr>
            </w:pPr>
            <w:r>
              <w:rPr>
                <w:sz w:val="4"/>
                <w:szCs w:val="4"/>
              </w:rPr>
            </w:r>
          </w:p>
        </w:tc>
      </w:tr>
      <w:tr>
        <w:trPr/>
        <w:tc>
          <w:tcPr>
            <w:tcW w:w="3606"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215" w:type="dxa"/>
            <w:tcBorders/>
          </w:tcPr>
          <w:p>
            <w:pPr>
              <w:pStyle w:val="TableContents"/>
              <w:bidi w:val="0"/>
              <w:spacing w:before="0" w:after="283"/>
              <w:jc w:val="center"/>
              <w:rPr/>
            </w:pPr>
            <w:r>
              <w:rPr/>
              <w:t xml:space="preserve">— </w:t>
            </w:r>
            <w:r>
              <w:rPr>
                <w:b/>
              </w:rPr>
              <w:t>End —</w:t>
            </w:r>
          </w:p>
        </w:tc>
        <w:tc>
          <w:tcPr>
            <w:tcW w:w="123" w:type="dxa"/>
            <w:tcBorders/>
            <w:vAlign w:val="bottom"/>
          </w:tcPr>
          <w:p>
            <w:pPr>
              <w:pStyle w:val="TableContents"/>
              <w:bidi w:val="0"/>
              <w:spacing w:before="0" w:after="283"/>
              <w:jc w:val="left"/>
              <w:rPr/>
            </w:pPr>
            <w:r>
              <w:rPr/>
              <w:t>  </w:t>
            </w:r>
          </w:p>
        </w:tc>
        <w:tc>
          <w:tcPr>
            <w:tcW w:w="3138" w:type="dxa"/>
            <w:tcBorders/>
          </w:tcPr>
          <w:p>
            <w:pPr>
              <w:pStyle w:val="TableContents"/>
              <w:bidi w:val="0"/>
              <w:spacing w:before="0" w:after="283"/>
              <w:jc w:val="left"/>
              <w:rPr>
                <w:sz w:val="4"/>
                <w:szCs w:val="4"/>
              </w:rPr>
            </w:pPr>
            <w:r>
              <w:rPr>
                <w:sz w:val="4"/>
                <w:szCs w:val="4"/>
              </w:rPr>
            </w:r>
          </w:p>
        </w:tc>
      </w:tr>
      <w:tr>
        <w:trPr/>
        <w:tc>
          <w:tcPr>
            <w:tcW w:w="3606" w:type="dxa"/>
            <w:tcBorders/>
          </w:tcPr>
          <w:p>
            <w:pPr>
              <w:pStyle w:val="TableContents"/>
              <w:bidi w:val="0"/>
              <w:spacing w:before="0" w:after="283"/>
              <w:jc w:val="left"/>
              <w:rPr/>
            </w:pPr>
            <w:r>
              <w:rPr>
                <w:b/>
              </w:rPr>
              <w:t xml:space="preserve">Contact: </w:t>
            </w:r>
            <w:r>
              <w:rPr/>
              <w:t>Pablo E. Paez</w:t>
            </w:r>
          </w:p>
        </w:tc>
        <w:tc>
          <w:tcPr>
            <w:tcW w:w="123" w:type="dxa"/>
            <w:tcBorders/>
            <w:vAlign w:val="bottom"/>
          </w:tcPr>
          <w:p>
            <w:pPr>
              <w:pStyle w:val="TableContents"/>
              <w:bidi w:val="0"/>
              <w:spacing w:before="0" w:after="283"/>
              <w:jc w:val="left"/>
              <w:rPr/>
            </w:pPr>
            <w:r>
              <w:rPr/>
              <w:t>  </w:t>
            </w:r>
          </w:p>
        </w:tc>
        <w:tc>
          <w:tcPr>
            <w:tcW w:w="3215"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138" w:type="dxa"/>
            <w:tcBorders/>
          </w:tcPr>
          <w:p>
            <w:pPr>
              <w:pStyle w:val="TableContents"/>
              <w:bidi w:val="0"/>
              <w:spacing w:before="0" w:after="283"/>
              <w:jc w:val="left"/>
              <w:rPr/>
            </w:pPr>
            <w:r>
              <w:rPr/>
              <w:t>(866) 301 4436</w:t>
            </w:r>
          </w:p>
        </w:tc>
      </w:tr>
      <w:tr>
        <w:trPr/>
        <w:tc>
          <w:tcPr>
            <w:tcW w:w="6944"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Executive Vice President, Corporate Relations</w:t>
            </w:r>
          </w:p>
        </w:tc>
        <w:tc>
          <w:tcPr>
            <w:tcW w:w="123" w:type="dxa"/>
            <w:tcBorders/>
            <w:vAlign w:val="bottom"/>
          </w:tcPr>
          <w:p>
            <w:pPr>
              <w:pStyle w:val="TableContents"/>
              <w:bidi w:val="0"/>
              <w:spacing w:before="0" w:after="283"/>
              <w:jc w:val="left"/>
              <w:rPr/>
            </w:pPr>
            <w:r>
              <w:rPr/>
              <w:t>  </w:t>
            </w:r>
          </w:p>
        </w:tc>
        <w:tc>
          <w:tcPr>
            <w:tcW w:w="3138" w:type="dxa"/>
            <w:tcBorders/>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4578</Words>
  <Characters>25737</Characters>
  <CharactersWithSpaces>31054</CharactersWithSpaces>
  <Paragraphs>1345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