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ind w:left="520" w:right="260" w:hanging="512"/>
        <w:spacing w:after="0" w:line="262"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jc w:val="center"/>
        <w:ind w:left="5400" w:right="160" w:hanging="5234"/>
        <w:spacing w:after="0" w:line="262" w:lineRule="auto"/>
        <w:tabs>
          <w:tab w:leader="none" w:pos="54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to_______</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1-14260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65-0043078</w:t>
            </w:r>
          </w:p>
        </w:tc>
      </w:tr>
      <w:tr>
        <w:trPr>
          <w:trHeight w:val="149"/>
        </w:trPr>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80" w:type="dxa"/>
            <w:vAlign w:val="bottom"/>
          </w:tcPr>
          <w:p>
            <w:pPr>
              <w:jc w:val="center"/>
              <w:ind w:left="3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80" w:type="dxa"/>
            <w:vAlign w:val="bottom"/>
          </w:tcPr>
          <w:p>
            <w:pPr>
              <w:jc w:val="center"/>
              <w:ind w:left="3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4955 Technology Way</w:t>
            </w:r>
          </w:p>
        </w:tc>
        <w:tc>
          <w:tcPr>
            <w:tcW w:w="5080" w:type="dxa"/>
            <w:vAlign w:val="bottom"/>
          </w:tcPr>
          <w:p>
            <w:pPr>
              <w:spacing w:after="0"/>
              <w:rPr>
                <w:sz w:val="22"/>
                <w:szCs w:val="22"/>
                <w:color w:val="auto"/>
              </w:rPr>
            </w:pPr>
          </w:p>
        </w:tc>
      </w:tr>
      <w:tr>
        <w:trPr>
          <w:trHeight w:val="21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50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33431</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80" w:type="dxa"/>
            <w:vAlign w:val="bottom"/>
          </w:tcPr>
          <w:p>
            <w:pPr>
              <w:jc w:val="center"/>
              <w:ind w:left="38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5"/>
        </w:trPr>
        <w:tc>
          <w:tcPr>
            <w:tcW w:w="2400" w:type="dxa"/>
            <w:vAlign w:val="bottom"/>
          </w:tcPr>
          <w:p>
            <w:pPr>
              <w:spacing w:after="0"/>
              <w:rPr>
                <w:sz w:val="22"/>
                <w:szCs w:val="22"/>
                <w:color w:val="auto"/>
              </w:rPr>
            </w:pPr>
          </w:p>
        </w:tc>
        <w:tc>
          <w:tcPr>
            <w:tcW w:w="5080" w:type="dxa"/>
            <w:vAlign w:val="bottom"/>
          </w:tcPr>
          <w:p>
            <w:pPr>
              <w:jc w:val="center"/>
              <w:ind w:right="1721"/>
              <w:spacing w:after="0"/>
              <w:rPr>
                <w:sz w:val="20"/>
                <w:szCs w:val="20"/>
                <w:color w:val="auto"/>
              </w:rPr>
            </w:pPr>
            <w:r>
              <w:rPr>
                <w:rFonts w:ascii="Times New Roman" w:cs="Times New Roman" w:eastAsia="Times New Roman" w:hAnsi="Times New Roman"/>
                <w:sz w:val="18"/>
                <w:szCs w:val="18"/>
                <w:b w:val="1"/>
                <w:bCs w:val="1"/>
                <w:color w:val="auto"/>
                <w:w w:val="99"/>
              </w:rPr>
              <w:t>(561) 893-0101</w:t>
            </w:r>
          </w:p>
        </w:tc>
      </w:tr>
      <w:tr>
        <w:trPr>
          <w:trHeight w:val="148"/>
        </w:trPr>
        <w:tc>
          <w:tcPr>
            <w:tcW w:w="2400" w:type="dxa"/>
            <w:vAlign w:val="bottom"/>
          </w:tcPr>
          <w:p>
            <w:pPr>
              <w:spacing w:after="0"/>
              <w:rPr>
                <w:sz w:val="12"/>
                <w:szCs w:val="12"/>
                <w:color w:val="auto"/>
              </w:rPr>
            </w:pPr>
          </w:p>
        </w:tc>
        <w:tc>
          <w:tcPr>
            <w:tcW w:w="5080" w:type="dxa"/>
            <w:vAlign w:val="bottom"/>
          </w:tcPr>
          <w:p>
            <w:pPr>
              <w:jc w:val="center"/>
              <w:ind w:right="1721"/>
              <w:spacing w:after="0" w:line="149"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90"/>
        </w:trPr>
        <w:tc>
          <w:tcPr>
            <w:tcW w:w="2400" w:type="dxa"/>
            <w:vAlign w:val="bottom"/>
          </w:tcPr>
          <w:p>
            <w:pPr>
              <w:spacing w:after="0"/>
              <w:rPr>
                <w:sz w:val="16"/>
                <w:szCs w:val="16"/>
                <w:color w:val="auto"/>
              </w:rPr>
            </w:pPr>
          </w:p>
        </w:tc>
        <w:tc>
          <w:tcPr>
            <w:tcW w:w="5080" w:type="dxa"/>
            <w:vAlign w:val="bottom"/>
          </w:tcPr>
          <w:p>
            <w:pPr>
              <w:jc w:val="center"/>
              <w:ind w:right="1721"/>
              <w:spacing w:after="0"/>
              <w:rPr>
                <w:sz w:val="20"/>
                <w:szCs w:val="20"/>
                <w:color w:val="auto"/>
              </w:rPr>
            </w:pPr>
            <w:r>
              <w:rPr>
                <w:rFonts w:ascii="Times New Roman" w:cs="Times New Roman" w:eastAsia="Times New Roman" w:hAnsi="Times New Roman"/>
                <w:sz w:val="14"/>
                <w:szCs w:val="14"/>
                <w:b w:val="1"/>
                <w:bCs w:val="1"/>
                <w:color w:val="auto"/>
                <w:w w:val="99"/>
              </w:rPr>
              <w:t>N/A</w:t>
            </w: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9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GEO</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4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4, 2025, the registrant had 141,534,615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0"/>
                <w:szCs w:val="20"/>
                <w:color w:val="auto"/>
              </w:rPr>
            </w:pPr>
          </w:p>
        </w:tc>
      </w:tr>
      <w:tr>
        <w:trPr>
          <w:trHeight w:val="418"/>
        </w:trPr>
        <w:tc>
          <w:tcPr>
            <w:tcW w:w="3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76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404040"/>
              </w:rPr>
              <w:t>3</w:t>
            </w:r>
          </w:p>
        </w:tc>
      </w:tr>
      <w:tr>
        <w:trPr>
          <w:trHeight w:val="196"/>
        </w:trPr>
        <w:tc>
          <w:tcPr>
            <w:tcW w:w="28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20" w:type="dxa"/>
            <w:vAlign w:val="bottom"/>
            <w:tcBorders>
              <w:bottom w:val="single" w:sz="8" w:color="0000EE"/>
            </w:tcBorders>
          </w:tcPr>
          <w:p>
            <w:pPr>
              <w:spacing w:after="0"/>
              <w:rPr>
                <w:sz w:val="17"/>
                <w:szCs w:val="17"/>
                <w:color w:val="auto"/>
              </w:rPr>
            </w:pPr>
          </w:p>
        </w:tc>
        <w:tc>
          <w:tcPr>
            <w:tcW w:w="780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3</w:t>
            </w: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(UNAUDITED) FOR THE THREE AND SIX MONTHS ENDED JUNE 30, 2025 AND</w:t>
            </w:r>
          </w:p>
        </w:tc>
        <w:tc>
          <w:tcPr>
            <w:tcW w:w="560" w:type="dxa"/>
            <w:vAlign w:val="bottom"/>
          </w:tcPr>
          <w:p>
            <w:pPr>
              <w:spacing w:after="0"/>
              <w:rPr>
                <w:sz w:val="17"/>
                <w:szCs w:val="17"/>
                <w:color w:val="auto"/>
              </w:rPr>
            </w:pPr>
          </w:p>
        </w:tc>
      </w:tr>
      <w:tr>
        <w:trPr>
          <w:trHeight w:val="196"/>
        </w:trPr>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7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3</w:t>
            </w:r>
          </w:p>
        </w:tc>
      </w:tr>
      <w:tr>
        <w:trPr>
          <w:trHeight w:val="196"/>
        </w:trPr>
        <w:tc>
          <w:tcPr>
            <w:tcW w:w="106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(UNAUDITED) FOR THE THREE AND SIX MONTHS ENDED</w:t>
            </w:r>
          </w:p>
        </w:tc>
        <w:tc>
          <w:tcPr>
            <w:tcW w:w="560" w:type="dxa"/>
            <w:vAlign w:val="bottom"/>
          </w:tcPr>
          <w:p>
            <w:pPr>
              <w:spacing w:after="0"/>
              <w:rPr>
                <w:sz w:val="17"/>
                <w:szCs w:val="17"/>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JUNE 30, 2025 AND 2024</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4</w:t>
            </w: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JUNE 30, 2025 (UNAUDITED) AND DECEMBER 31, 2024</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w:t>
            </w: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8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(UNAUDITED) FOR THE SIX MONTHS ENDED JUNE 30, 2025 AND 2024</w:t>
            </w:r>
          </w:p>
        </w:tc>
        <w:tc>
          <w:tcPr>
            <w:tcW w:w="8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6</w:t>
            </w: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7</w:t>
            </w: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6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10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35</w:t>
            </w:r>
          </w:p>
        </w:tc>
      </w:tr>
      <w:tr>
        <w:trPr>
          <w:trHeight w:val="196"/>
        </w:trPr>
        <w:tc>
          <w:tcPr>
            <w:tcW w:w="6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38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54</w:t>
            </w:r>
          </w:p>
        </w:tc>
      </w:tr>
      <w:tr>
        <w:trPr>
          <w:trHeight w:val="196"/>
        </w:trPr>
        <w:tc>
          <w:tcPr>
            <w:tcW w:w="32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40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54</w:t>
            </w: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55</w:t>
            </w:r>
          </w:p>
        </w:tc>
      </w:tr>
      <w:tr>
        <w:trPr>
          <w:trHeight w:val="196"/>
        </w:trPr>
        <w:tc>
          <w:tcPr>
            <w:tcW w:w="26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800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55</w:t>
            </w:r>
          </w:p>
        </w:tc>
      </w:tr>
      <w:tr>
        <w:trPr>
          <w:trHeight w:val="196"/>
        </w:trPr>
        <w:tc>
          <w:tcPr>
            <w:tcW w:w="25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814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57</w:t>
            </w: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57</w:t>
            </w:r>
          </w:p>
        </w:tc>
      </w:tr>
      <w:tr>
        <w:trPr>
          <w:trHeight w:val="196"/>
        </w:trPr>
        <w:tc>
          <w:tcPr>
            <w:tcW w:w="67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39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57</w:t>
            </w:r>
          </w:p>
        </w:tc>
      </w:tr>
      <w:tr>
        <w:trPr>
          <w:trHeight w:val="196"/>
        </w:trPr>
        <w:tc>
          <w:tcPr>
            <w:tcW w:w="31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60" w:type="dxa"/>
            <w:vAlign w:val="bottom"/>
            <w:tcBorders>
              <w:top w:val="single" w:sz="8" w:color="0000FF"/>
            </w:tcBorders>
            <w:gridSpan w:val="2"/>
          </w:tcPr>
          <w:p>
            <w:pPr>
              <w:spacing w:after="0"/>
              <w:rPr>
                <w:sz w:val="17"/>
                <w:szCs w:val="17"/>
                <w:color w:val="auto"/>
              </w:rPr>
            </w:pPr>
          </w:p>
        </w:tc>
        <w:tc>
          <w:tcPr>
            <w:tcW w:w="680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57</w:t>
            </w:r>
          </w:p>
        </w:tc>
      </w:tr>
      <w:tr>
        <w:trPr>
          <w:trHeight w:val="196"/>
        </w:trPr>
        <w:tc>
          <w:tcPr>
            <w:tcW w:w="25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10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58</w:t>
            </w:r>
          </w:p>
        </w:tc>
      </w:tr>
      <w:tr>
        <w:trPr>
          <w:trHeight w:val="196"/>
        </w:trPr>
        <w:tc>
          <w:tcPr>
            <w:tcW w:w="15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6. EXHIBITS</w:t>
            </w:r>
          </w:p>
        </w:tc>
        <w:tc>
          <w:tcPr>
            <w:tcW w:w="918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04040"/>
              </w:rPr>
              <w:t>59</w:t>
            </w: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668"/>
        </w:trPr>
        <w:tc>
          <w:tcPr>
            <w:tcW w:w="1120" w:type="dxa"/>
            <w:vAlign w:val="bottom"/>
            <w:tcBorders>
              <w:top w:val="single" w:sz="8" w:color="0000FF"/>
            </w:tcBorders>
            <w:gridSpan w:val="2"/>
          </w:tcPr>
          <w:p>
            <w:pPr>
              <w:spacing w:after="0"/>
              <w:rPr>
                <w:sz w:val="24"/>
                <w:szCs w:val="24"/>
                <w:color w:val="auto"/>
              </w:rPr>
            </w:pPr>
          </w:p>
        </w:tc>
        <w:tc>
          <w:tcPr>
            <w:tcW w:w="5620" w:type="dxa"/>
            <w:vAlign w:val="bottom"/>
            <w:gridSpan w:val="14"/>
          </w:tcPr>
          <w:p>
            <w:pPr>
              <w:jc w:val="right"/>
              <w:ind w:right="10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636,169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607,185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1,241,513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1,212,857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475,218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443,529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929,693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885,204</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32,732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31,313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64,868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62,678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56,246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52,198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113,995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105,268</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71,973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80,145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132,957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159,707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(82,378)</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5,514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5,514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Loss on asset divestitures/impairment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 and equity in earnings of affiliates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37,451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57,991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Equity in earnings of affiliates, net of income tax provision of</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$169, $186, $399 and $314, respectively</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48,616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The GEO Group, Inc.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48,666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138,539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130,518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137,844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125,631</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140,470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130,518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140,710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125,631</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per common share attributable to The GEO Group, Inc.:</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income (loss) per common share attributable to The GEO Group Inc.-</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4"/>
        </w:trPr>
        <w:tc>
          <w:tcPr>
            <w:tcW w:w="566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60" w:type="dxa"/>
            <w:vAlign w:val="bottom"/>
            <w:gridSpan w:val="2"/>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FF0FC"/>
            </w:tcBorders>
          </w:tcPr>
          <w:p>
            <w:pPr>
              <w:ind w:left="2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income (loss) per common share attributable to The GEO Group, Inc.-</w:t>
            </w:r>
          </w:p>
        </w:tc>
        <w:tc>
          <w:tcPr>
            <w:tcW w:w="16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vMerge w:val="restart"/>
            <w:shd w:val="clear" w:color="auto" w:fill="CFF0FC"/>
          </w:tcPr>
          <w:p>
            <w:pPr>
              <w:spacing w:after="0"/>
              <w:rPr>
                <w:sz w:val="17"/>
                <w:szCs w:val="17"/>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4"/>
        </w:trPr>
        <w:tc>
          <w:tcPr>
            <w:tcW w:w="566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-1962150</wp:posOffset>
            </wp:positionV>
            <wp:extent cx="85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-1962150</wp:posOffset>
            </wp:positionV>
            <wp:extent cx="85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-1962150</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-1679575</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-1679575</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-1679575</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-436245</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-419100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-436245</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-419100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-436245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-419100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29,074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48,616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4,591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2,702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6,021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198"/>
        </w:trPr>
        <w:tc>
          <w:tcPr>
            <w:tcW w:w="5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marketable securities, net of tax provision of $45, $0, $109 and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 respectively</w:t>
            </w:r>
          </w:p>
        </w:tc>
        <w:tc>
          <w:tcPr>
            <w:tcW w:w="1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Pension liability adjustment, net of tax provision (benefit)</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$(13), $3, $(26) and $6, respectively</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5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instrument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classified as cash flow hedge, net of tax provision (benefit) of</w:t>
            </w:r>
          </w:p>
        </w:tc>
        <w:tc>
          <w:tcPr>
            <w:tcW w:w="1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$(88), $31, $(270) and $217 respectively</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4,382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2,830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5,318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33,456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53,934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The GEO Group,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33,508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54,014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-453390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-453390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-453390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 AND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34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auto"/>
              </w:rPr>
              <w:t>67,861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auto"/>
              </w:rPr>
              <w:t>76,896</w:t>
            </w: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2,785</w:t>
            </w:r>
          </w:p>
        </w:tc>
        <w:tc>
          <w:tcPr>
            <w:tcW w:w="0" w:type="dxa"/>
            <w:vAlign w:val="bottom"/>
          </w:tcPr>
          <w:p>
            <w:pPr>
              <w:spacing w:after="0"/>
              <w:rPr>
                <w:sz w:val="1"/>
                <w:szCs w:val="1"/>
                <w:color w:val="auto"/>
              </w:rPr>
            </w:pPr>
          </w:p>
        </w:tc>
      </w:tr>
      <w:tr>
        <w:trPr>
          <w:trHeight w:val="181"/>
        </w:trPr>
        <w:tc>
          <w:tcPr>
            <w:tcW w:w="774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Accounts receivable, net of credit loss reserve of $691 and $685,</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auto"/>
              </w:rPr>
              <w:t>389,738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6"/>
                <w:szCs w:val="16"/>
                <w:color w:val="auto"/>
              </w:rPr>
              <w:t>376,013</w:t>
            </w:r>
          </w:p>
        </w:tc>
        <w:tc>
          <w:tcPr>
            <w:tcW w:w="0" w:type="dxa"/>
            <w:vAlign w:val="bottom"/>
          </w:tcPr>
          <w:p>
            <w:pPr>
              <w:spacing w:after="0"/>
              <w:rPr>
                <w:sz w:val="1"/>
                <w:szCs w:val="1"/>
                <w:color w:val="auto"/>
              </w:rPr>
            </w:pPr>
          </w:p>
        </w:tc>
      </w:tr>
      <w:tr>
        <w:trPr>
          <w:trHeight w:val="202"/>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46,451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rPr>
              <w:t>44,485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504,050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500,179</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 and Investments</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170,374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145,366</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1,823,900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1,899,690</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Assets Held for Sale</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84,124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Right-of-Use Assets, Net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84,975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95,327</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Income Tax Assets</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9,522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9,522</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756,021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756,001</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121,955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126,576</w:t>
            </w:r>
          </w:p>
        </w:tc>
        <w:tc>
          <w:tcPr>
            <w:tcW w:w="0" w:type="dxa"/>
            <w:vAlign w:val="bottom"/>
          </w:tcPr>
          <w:p>
            <w:pPr>
              <w:spacing w:after="0"/>
              <w:rPr>
                <w:sz w:val="1"/>
                <w:szCs w:val="1"/>
                <w:color w:val="auto"/>
              </w:rPr>
            </w:pP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106,498</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99,419</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3,661,419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3,632,080</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192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70,012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67,464</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payroll and related taxes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68,877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68,044</w:t>
            </w: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178,587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177,768</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22,761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25,335</w:t>
            </w: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finance lease liabilities and long-term debt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220,801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1,612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561,038</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340,223</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Income Tax Liabilities</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78,198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78,198</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Non-Current Liabilities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99,974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95,410</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Liabilities</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65,414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73,638</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 Net</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1,475,375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1,711,197</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Commitments, Contingencies and Other Matters </w:t>
            </w:r>
            <w:r>
              <w:rPr>
                <w:rFonts w:ascii="Times New Roman" w:cs="Times New Roman" w:eastAsia="Times New Roman" w:hAnsi="Times New Roman"/>
                <w:sz w:val="17"/>
                <w:szCs w:val="17"/>
                <w:color w:val="auto"/>
              </w:rPr>
              <w:t>(Note 11)</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 Equity</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$0.01 par value, 30,000,000 shares authorized,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none issued or outstanding</w:t>
            </w:r>
          </w:p>
        </w:tc>
        <w:tc>
          <w:tcPr>
            <w:tcW w:w="220" w:type="dxa"/>
            <w:vAlign w:val="bottom"/>
          </w:tcPr>
          <w:p>
            <w:pPr>
              <w:spacing w:after="0"/>
              <w:rPr>
                <w:sz w:val="19"/>
                <w:szCs w:val="19"/>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74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$0.01 par value, 225,000,000 shares authorized,</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141,246,074 and 140,181,318 issued and outstanding, respectively</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1,413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1,402</w:t>
            </w: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1,309,317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1,315,256</w:t>
            </w:r>
          </w:p>
        </w:tc>
        <w:tc>
          <w:tcPr>
            <w:tcW w:w="0" w:type="dxa"/>
            <w:vAlign w:val="bottom"/>
          </w:tcPr>
          <w:p>
            <w:pPr>
              <w:spacing w:after="0"/>
              <w:rPr>
                <w:sz w:val="1"/>
                <w:szCs w:val="1"/>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88,546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39,880</w:t>
            </w: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(16,254)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(21,602)</w:t>
            </w:r>
          </w:p>
        </w:tc>
        <w:tc>
          <w:tcPr>
            <w:tcW w:w="0" w:type="dxa"/>
            <w:vAlign w:val="bottom"/>
          </w:tcPr>
          <w:p>
            <w:pPr>
              <w:spacing w:after="0"/>
              <w:rPr>
                <w:sz w:val="1"/>
                <w:szCs w:val="1"/>
                <w:color w:val="auto"/>
              </w:rPr>
            </w:pPr>
          </w:p>
        </w:tc>
      </w:tr>
      <w:tr>
        <w:trPr>
          <w:trHeight w:val="19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Total shareholders’ equity attributable to The GEO Group, Inc.</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1,383,022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1,334,936</w:t>
            </w: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1,381,420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1,333,414</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Liabilities and Shareholders’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3,661,419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3,632,080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-4482465</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-3445510</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-2245360</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-161925</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48,616</w:t>
            </w:r>
          </w:p>
        </w:tc>
        <w:tc>
          <w:tcPr>
            <w:tcW w:w="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(9,904)</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2"/>
        </w:trPr>
        <w:tc>
          <w:tcPr>
            <w:tcW w:w="63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income attributable to The GEO Group, Inc.</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48,666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(9,845)</w:t>
            </w:r>
          </w:p>
        </w:tc>
        <w:tc>
          <w:tcPr>
            <w:tcW w:w="0" w:type="dxa"/>
            <w:vAlign w:val="bottom"/>
          </w:tcPr>
          <w:p>
            <w:pPr>
              <w:spacing w:after="0"/>
              <w:rPr>
                <w:sz w:val="1"/>
                <w:szCs w:val="1"/>
                <w:color w:val="auto"/>
              </w:rPr>
            </w:pPr>
          </w:p>
        </w:tc>
      </w:tr>
      <w:tr>
        <w:trPr>
          <w:trHeight w:val="126"/>
        </w:trPr>
        <w:tc>
          <w:tcPr>
            <w:tcW w:w="638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attributable to The GEO Group, Inc. to net cash</w:t>
            </w:r>
          </w:p>
        </w:tc>
        <w:tc>
          <w:tcPr>
            <w:tcW w:w="1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provided by operating activities:</w:t>
            </w: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64,868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62,678</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11,994</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8,788</w:t>
            </w:r>
          </w:p>
        </w:tc>
        <w:tc>
          <w:tcPr>
            <w:tcW w:w="0" w:type="dxa"/>
            <w:vAlign w:val="bottom"/>
          </w:tcPr>
          <w:p>
            <w:pPr>
              <w:spacing w:after="0"/>
              <w:rPr>
                <w:sz w:val="1"/>
                <w:szCs w:val="1"/>
                <w:color w:val="auto"/>
              </w:rPr>
            </w:pPr>
          </w:p>
        </w:tc>
      </w:tr>
      <w:tr>
        <w:trPr>
          <w:trHeight w:val="148"/>
        </w:trPr>
        <w:tc>
          <w:tcPr>
            <w:tcW w:w="6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82,378</w:t>
            </w:r>
          </w:p>
        </w:tc>
        <w:tc>
          <w:tcPr>
            <w:tcW w:w="0" w:type="dxa"/>
            <w:vAlign w:val="bottom"/>
          </w:tcPr>
          <w:p>
            <w:pPr>
              <w:spacing w:after="0"/>
              <w:rPr>
                <w:sz w:val="1"/>
                <w:szCs w:val="1"/>
                <w:color w:val="auto"/>
              </w:rPr>
            </w:pPr>
          </w:p>
        </w:tc>
      </w:tr>
      <w:tr>
        <w:trPr>
          <w:trHeight w:val="126"/>
        </w:trPr>
        <w:tc>
          <w:tcPr>
            <w:tcW w:w="6380" w:type="dxa"/>
            <w:vAlign w:val="bottom"/>
            <w:shd w:val="clear" w:color="auto" w:fill="CFF0FC"/>
          </w:tcPr>
          <w:p>
            <w:pPr>
              <w:ind w:left="280"/>
              <w:spacing w:after="0" w:line="126" w:lineRule="exact"/>
              <w:rPr>
                <w:sz w:val="20"/>
                <w:szCs w:val="20"/>
                <w:color w:val="auto"/>
              </w:rPr>
            </w:pPr>
            <w:r>
              <w:rPr>
                <w:rFonts w:ascii="Times New Roman" w:cs="Times New Roman" w:eastAsia="Times New Roman" w:hAnsi="Times New Roman"/>
                <w:sz w:val="14"/>
                <w:szCs w:val="14"/>
                <w:color w:val="auto"/>
              </w:rPr>
              <w:t>Amortization of debt issuance costs, discount and/or premium and other non-cash</w:t>
            </w:r>
          </w:p>
        </w:tc>
        <w:tc>
          <w:tcPr>
            <w:tcW w:w="1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3,220</w:t>
            </w: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4,929</w:t>
            </w:r>
          </w:p>
        </w:tc>
        <w:tc>
          <w:tcPr>
            <w:tcW w:w="0" w:type="dxa"/>
            <w:vAlign w:val="bottom"/>
          </w:tcPr>
          <w:p>
            <w:pPr>
              <w:spacing w:after="0"/>
              <w:rPr>
                <w:sz w:val="1"/>
                <w:szCs w:val="1"/>
                <w:color w:val="auto"/>
              </w:rPr>
            </w:pPr>
          </w:p>
        </w:tc>
      </w:tr>
      <w:tr>
        <w:trPr>
          <w:trHeight w:val="171"/>
        </w:trPr>
        <w:tc>
          <w:tcPr>
            <w:tcW w:w="6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interest</w:t>
            </w: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in earnings of affiliates, net of tax</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Dividends received from unconsolidated joint ventures</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0" w:type="dxa"/>
            <w:vAlign w:val="bottom"/>
          </w:tcPr>
          <w:p>
            <w:pPr>
              <w:spacing w:after="0"/>
              <w:rPr>
                <w:sz w:val="1"/>
                <w:szCs w:val="1"/>
                <w:color w:val="auto"/>
              </w:rPr>
            </w:pPr>
          </w:p>
        </w:tc>
      </w:tr>
      <w:tr>
        <w:trPr>
          <w:trHeight w:val="148"/>
        </w:trPr>
        <w:tc>
          <w:tcPr>
            <w:tcW w:w="6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Realized/unrealized gain on investments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loss on sale/disposal of property and equipment, net</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148"/>
        </w:trPr>
        <w:tc>
          <w:tcPr>
            <w:tcW w:w="6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asset divestitures/impairment</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2,907</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 net of effects of acquisitions:</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accounts receivable, prepaid expenses and other assets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(16,758)</w:t>
            </w:r>
          </w:p>
        </w:tc>
        <w:tc>
          <w:tcPr>
            <w:tcW w:w="0" w:type="dxa"/>
            <w:vAlign w:val="bottom"/>
          </w:tcPr>
          <w:p>
            <w:pPr>
              <w:spacing w:after="0"/>
              <w:rPr>
                <w:sz w:val="1"/>
                <w:szCs w:val="1"/>
                <w:color w:val="auto"/>
              </w:rPr>
            </w:pPr>
          </w:p>
        </w:tc>
      </w:tr>
      <w:tr>
        <w:trPr>
          <w:trHeight w:val="148"/>
        </w:trPr>
        <w:tc>
          <w:tcPr>
            <w:tcW w:w="6380" w:type="dxa"/>
            <w:vAlign w:val="bottom"/>
            <w:tcBorders>
              <w:bottom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accounts payable, accrued expenses and other liabilities</w:t>
            </w:r>
          </w:p>
        </w:tc>
        <w:tc>
          <w:tcPr>
            <w:tcW w:w="1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(6,792)</w:t>
            </w: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(21,456)</w:t>
            </w:r>
          </w:p>
        </w:tc>
        <w:tc>
          <w:tcPr>
            <w:tcW w:w="0" w:type="dxa"/>
            <w:vAlign w:val="bottom"/>
          </w:tcPr>
          <w:p>
            <w:pPr>
              <w:spacing w:after="0"/>
              <w:rPr>
                <w:sz w:val="1"/>
                <w:szCs w:val="1"/>
                <w:color w:val="auto"/>
              </w:rPr>
            </w:pPr>
          </w:p>
        </w:tc>
      </w:tr>
      <w:tr>
        <w:trPr>
          <w:trHeight w:val="142"/>
        </w:trPr>
        <w:tc>
          <w:tcPr>
            <w:tcW w:w="63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110,393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114,520</w:t>
            </w:r>
          </w:p>
        </w:tc>
        <w:tc>
          <w:tcPr>
            <w:tcW w:w="0" w:type="dxa"/>
            <w:vAlign w:val="bottom"/>
          </w:tcPr>
          <w:p>
            <w:pPr>
              <w:spacing w:after="0"/>
              <w:rPr>
                <w:sz w:val="1"/>
                <w:szCs w:val="1"/>
                <w:color w:val="auto"/>
              </w:rPr>
            </w:pPr>
          </w:p>
        </w:tc>
      </w:tr>
      <w:tr>
        <w:trPr>
          <w:trHeight w:val="142"/>
        </w:trPr>
        <w:tc>
          <w:tcPr>
            <w:tcW w:w="6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(7,221)</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2,659</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9,399</w:t>
            </w:r>
          </w:p>
        </w:tc>
        <w:tc>
          <w:tcPr>
            <w:tcW w:w="0" w:type="dxa"/>
            <w:vAlign w:val="bottom"/>
          </w:tcPr>
          <w:p>
            <w:pPr>
              <w:spacing w:after="0"/>
              <w:rPr>
                <w:sz w:val="1"/>
                <w:szCs w:val="1"/>
                <w:color w:val="auto"/>
              </w:rPr>
            </w:pPr>
          </w:p>
        </w:tc>
      </w:tr>
      <w:tr>
        <w:trPr>
          <w:trHeight w:val="149"/>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(67,582)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(39,174)</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(81,799)</w:t>
            </w: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(36,996)</w:t>
            </w:r>
          </w:p>
        </w:tc>
        <w:tc>
          <w:tcPr>
            <w:tcW w:w="0" w:type="dxa"/>
            <w:vAlign w:val="bottom"/>
          </w:tcPr>
          <w:p>
            <w:pPr>
              <w:spacing w:after="0"/>
              <w:rPr>
                <w:sz w:val="1"/>
                <w:szCs w:val="1"/>
                <w:color w:val="auto"/>
              </w:rPr>
            </w:pPr>
          </w:p>
        </w:tc>
      </w:tr>
      <w:tr>
        <w:trPr>
          <w:trHeight w:val="142"/>
        </w:trPr>
        <w:tc>
          <w:tcPr>
            <w:tcW w:w="6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(24,687)</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(1,802,106)</w:t>
            </w:r>
          </w:p>
        </w:tc>
        <w:tc>
          <w:tcPr>
            <w:tcW w:w="0" w:type="dxa"/>
            <w:vAlign w:val="bottom"/>
          </w:tcPr>
          <w:p>
            <w:pPr>
              <w:spacing w:after="0"/>
              <w:rPr>
                <w:sz w:val="1"/>
                <w:szCs w:val="1"/>
                <w:color w:val="auto"/>
              </w:rPr>
            </w:pPr>
          </w:p>
        </w:tc>
      </w:tr>
      <w:tr>
        <w:trPr>
          <w:trHeight w:val="149"/>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1,720,500</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Payments on revolver</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revolver</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49"/>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Payments for call premiums</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(34,258)</w:t>
            </w:r>
          </w:p>
        </w:tc>
        <w:tc>
          <w:tcPr>
            <w:tcW w:w="0" w:type="dxa"/>
            <w:vAlign w:val="bottom"/>
          </w:tcPr>
          <w:p>
            <w:pPr>
              <w:spacing w:after="0"/>
              <w:rPr>
                <w:sz w:val="1"/>
                <w:szCs w:val="1"/>
                <w:color w:val="auto"/>
              </w:rPr>
            </w:pPr>
          </w:p>
        </w:tc>
      </w:tr>
      <w:tr>
        <w:trPr>
          <w:trHeight w:val="148"/>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settlements of equity awards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(7,463)</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 ESPP</w:t>
            </w:r>
          </w:p>
        </w:tc>
        <w:tc>
          <w:tcPr>
            <w:tcW w:w="1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9"/>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(30,621)</w:t>
            </w:r>
          </w:p>
        </w:tc>
        <w:tc>
          <w:tcPr>
            <w:tcW w:w="0" w:type="dxa"/>
            <w:vAlign w:val="bottom"/>
          </w:tcPr>
          <w:p>
            <w:pPr>
              <w:spacing w:after="0"/>
              <w:rPr>
                <w:sz w:val="1"/>
                <w:szCs w:val="1"/>
                <w:color w:val="auto"/>
              </w:rPr>
            </w:pPr>
          </w:p>
        </w:tc>
      </w:tr>
      <w:tr>
        <w:trPr>
          <w:trHeight w:val="14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3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4,169</w:t>
            </w:r>
          </w:p>
        </w:tc>
        <w:tc>
          <w:tcPr>
            <w:tcW w:w="1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42"/>
        </w:trPr>
        <w:tc>
          <w:tcPr>
            <w:tcW w:w="63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(37,609)</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(113,202)</w:t>
            </w:r>
          </w:p>
        </w:tc>
        <w:tc>
          <w:tcPr>
            <w:tcW w:w="0" w:type="dxa"/>
            <w:vAlign w:val="bottom"/>
          </w:tcPr>
          <w:p>
            <w:pPr>
              <w:spacing w:after="0"/>
              <w:rPr>
                <w:sz w:val="1"/>
                <w:szCs w:val="1"/>
                <w:color w:val="auto"/>
              </w:rPr>
            </w:pPr>
          </w:p>
        </w:tc>
      </w:tr>
      <w:tr>
        <w:trPr>
          <w:trHeight w:val="119"/>
        </w:trPr>
        <w:tc>
          <w:tcPr>
            <w:tcW w:w="63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3,772</w:t>
            </w: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58"/>
        </w:trPr>
        <w:tc>
          <w:tcPr>
            <w:tcW w:w="638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and Cash Equivalents</w:t>
            </w:r>
          </w:p>
        </w:tc>
        <w:tc>
          <w:tcPr>
            <w:tcW w:w="13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vMerge w:val="continue"/>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(37,189)</w:t>
            </w:r>
          </w:p>
        </w:tc>
        <w:tc>
          <w:tcPr>
            <w:tcW w:w="0" w:type="dxa"/>
            <w:vAlign w:val="bottom"/>
          </w:tcPr>
          <w:p>
            <w:pPr>
              <w:spacing w:after="0"/>
              <w:rPr>
                <w:sz w:val="1"/>
                <w:szCs w:val="1"/>
                <w:color w:val="auto"/>
              </w:rPr>
            </w:pPr>
          </w:p>
        </w:tc>
      </w:tr>
      <w:tr>
        <w:trPr>
          <w:trHeight w:val="171"/>
        </w:trPr>
        <w:tc>
          <w:tcPr>
            <w:tcW w:w="6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Cash Equivalents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and Cash Equivalents, beginning of period</w:t>
            </w:r>
          </w:p>
        </w:tc>
        <w:tc>
          <w:tcPr>
            <w:tcW w:w="1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125,864</w:t>
            </w: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159,867</w:t>
            </w:r>
          </w:p>
        </w:tc>
        <w:tc>
          <w:tcPr>
            <w:tcW w:w="0" w:type="dxa"/>
            <w:vAlign w:val="bottom"/>
          </w:tcPr>
          <w:p>
            <w:pPr>
              <w:spacing w:after="0"/>
              <w:rPr>
                <w:sz w:val="1"/>
                <w:szCs w:val="1"/>
                <w:color w:val="auto"/>
              </w:rPr>
            </w:pPr>
          </w:p>
        </w:tc>
      </w:tr>
      <w:tr>
        <w:trPr>
          <w:trHeight w:val="142"/>
        </w:trPr>
        <w:tc>
          <w:tcPr>
            <w:tcW w:w="6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and Cash Equivalents, end of period</w:t>
            </w:r>
          </w:p>
        </w:tc>
        <w:tc>
          <w:tcPr>
            <w:tcW w:w="15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120,621</w:t>
            </w:r>
          </w:p>
        </w:tc>
        <w:tc>
          <w:tcPr>
            <w:tcW w:w="3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122,678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Supplemental Disclosures:</w:t>
            </w:r>
          </w:p>
        </w:tc>
        <w:tc>
          <w:tcPr>
            <w:tcW w:w="1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Right-of-use assets obtained from operating lease liabilities</w:t>
            </w:r>
          </w:p>
        </w:tc>
        <w:tc>
          <w:tcPr>
            <w:tcW w:w="15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3,677</w:t>
            </w:r>
          </w:p>
        </w:tc>
        <w:tc>
          <w:tcPr>
            <w:tcW w:w="3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3,479</w:t>
            </w: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Debt issuance costs in accrued expenses</w:t>
            </w:r>
          </w:p>
        </w:tc>
        <w:tc>
          <w:tcPr>
            <w:tcW w:w="15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38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Capital expenditures in accounts payable and accrued expenses</w:t>
            </w:r>
          </w:p>
        </w:tc>
        <w:tc>
          <w:tcPr>
            <w:tcW w:w="15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1,176</w:t>
            </w:r>
          </w:p>
        </w:tc>
        <w:tc>
          <w:tcPr>
            <w:tcW w:w="38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-4319905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-2802890</wp:posOffset>
            </wp:positionV>
            <wp:extent cx="102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-2211070</wp:posOffset>
            </wp:positionV>
            <wp:extent cx="102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-1272540</wp:posOffset>
            </wp:positionV>
            <wp:extent cx="128270" cy="136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270" cy="13652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-967740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-676910</wp:posOffset>
            </wp:positionV>
            <wp:extent cx="102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-265430</wp:posOffset>
            </wp:positionV>
            <wp:extent cx="102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-248285</wp:posOffset>
            </wp:positionV>
            <wp:extent cx="102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GEO Group, Inc., a Florida corporation, and subsidiaries (the “Company” or “GEO”) specialize in the ownership, leasing and management of secure facilities, processing centers and community reentry centers in the United States, Australia and South Africa. The Company owns, leases and operates a broad range of facilities including maximum, medium and minimum security facilities, processing centers, as well as community-based reentry facilities and offers an expanded delivery of rehabilitation services under its 'GEO Continuum of Care' platform. The 'GEO Continuum of Care' platform integrates enhanced rehabilitative programs, which are evidence-based and include cognitive behavioral treatment and post-release services, and provides academic and vocational classes in life skills and treatment programs while helping individuals reintegrate into their communities. The Company develops new facilities based on contract awards, using its project development expertise and experience to design, construct and finance what it believes are state-of-the-art facilities that maximize security and efficiency. The Company provides innovative compliance technologies, industry-leading monitoring services, and evidence-based supervision and treatment programs for community-based parolees, probationers and pretrial defendants. The Company also provides secure transportation services for individuals as contracted domestically and in the United Kingdom through its joint venture GEOAmey Ltd. (“GEOAmey”). At June 30, 2025, the Company’s worldwide operations include the management and/or ownership of approximately 77,000 beds at 98 facilities, including idle facilities, and also includes the provision of reentry and electronic monitoring and supervision services for thousands of individuals, including an array of technology products including radio frequency, GPS, and alcohol monitoring devices.</w:t>
      </w:r>
    </w:p>
    <w:p>
      <w:pPr>
        <w:spacing w:after="0" w:line="1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unaudited consolidated financial statements included in this Quarterly Report on Form 10-Q have been prepared in accordance with accounting principles generally accepted in the United States (“GAAP”) and the instructions to Form 10-Q and consequently do not include all disclosures required by Form 10-K. The accounting policies followed for quarterly financial reporting are the same as those disclosed in the Notes to Consolidated Financial Statements included in the Company’s Annual Report on Form 10-K filed with the Securities and Exchange Commission on February 28, 2025 for the year ended December 31, 2024. The accompanying December 31, 2024 consolidated balance sheet has been derived from those audited financial statements. Additional information may be obtained by referring to the Company’s Form 10-K for the year ended December 31, 2024. In the opinion of management, all adjustments (consisting only of normal recurring items) necessary for a fair presentation of the financial information for the interim periods reported in this Quarterly Report on Form 10-Q have been made. Results of operations for the six months ended June 30, 2025 are not necessarily indicative of the results for the entire year ending December 31, 2025, or for any other future interim or annual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 AND OTHER INTANGIBLE ASSETS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has recorded goodwill as a result of its various business combinations. Goodwill is recorded as the difference, if any, between the aggregate consideration paid for an acquisition and the fair value of the tangible assets and intangible assets acquired net of liabilities assumed, including noncontrolling interests. Changes in the Company's goodwill balances from January 1, 2025 to June 30, 2025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Secure Services</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316,366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316,366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289,570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289,570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Reentry Services</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148,873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148,873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Services</w:t>
            </w: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1,212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756,001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756,021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396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jc w:val="right"/>
              <w:ind w:right="69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-933450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-916305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-933450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-916305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line="19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has also recorded other finite and indefinite-lived intangible assets as a result of its various business combinations. The Company's intangible assets include facility management contracts and trade names and technology,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98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900" w:type="dxa"/>
            <w:vAlign w:val="bottom"/>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0"/>
                <w:szCs w:val="10"/>
                <w:color w:val="auto"/>
              </w:rPr>
            </w:pPr>
          </w:p>
        </w:tc>
        <w:tc>
          <w:tcPr>
            <w:tcW w:w="8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9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00" w:type="dxa"/>
            <w:vAlign w:val="bottom"/>
          </w:tcPr>
          <w:p>
            <w:pPr>
              <w:spacing w:after="0"/>
              <w:rPr>
                <w:sz w:val="12"/>
                <w:szCs w:val="12"/>
                <w:color w:val="auto"/>
              </w:rPr>
            </w:pPr>
          </w:p>
        </w:tc>
        <w:tc>
          <w:tcPr>
            <w:tcW w:w="8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management contracts</w:t>
            </w: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223,770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(147,015)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76,755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223,790</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(142,414)</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81,376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Indefinite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45,200</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acquired intangible assets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268,970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(147,015)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121,955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268,990</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(142,414)</w:t>
            </w: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126,576</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Amortization expense was $2.3 million for each of the three months ended June 30, 2025 and 2024. Amortization expense was $4.6 million and $4.7 million for the six months ended June 30, 2025 and 2024, respectively. The Company records the costs associated with renewal and extension of facility management contracts as expenses in the period they are incurred. As of June 30, 2025, the weighted average period before the next contract renewal or extension for the acquired facility management contracts was approximately 1.4 years.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Estimated amortization expense related to the Company's finite-lived intangible assets for the remainder of 2025 through 2029 and thereafter is as follows (in thousands):</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5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the Company’s significant financial assets and liabilities carried at fair value and measured on a recurring basis as of June 30, 2025 and December 31,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7"/>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w:t>
            </w: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Pr>
          <w:p>
            <w:pPr>
              <w:spacing w:after="0"/>
              <w:rPr>
                <w:sz w:val="10"/>
                <w:szCs w:val="10"/>
                <w:color w:val="auto"/>
              </w:rPr>
            </w:pPr>
          </w:p>
        </w:tc>
        <w:tc>
          <w:tcPr>
            <w:tcW w:w="1260" w:type="dxa"/>
            <w:vAlign w:val="bottom"/>
            <w:gridSpan w:val="2"/>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60" w:type="dxa"/>
            <w:vAlign w:val="bottom"/>
            <w:gridSpan w:val="2"/>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investment: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Rabbi Trusts</w:t>
            </w:r>
          </w:p>
        </w:tc>
        <w:tc>
          <w:tcPr>
            <w:tcW w:w="1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61,472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12,876</w:t>
            </w:r>
          </w:p>
        </w:tc>
        <w:tc>
          <w:tcPr>
            <w:tcW w:w="3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48,596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equity and fixed income securities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75,222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6,204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19,860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19,860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3,567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0"/>
        </w:trPr>
        <w:tc>
          <w:tcPr>
            <w:tcW w:w="456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7"/>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260" w:type="dxa"/>
            <w:vAlign w:val="bottom"/>
            <w:gridSpan w:val="2"/>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investments: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Rabbi Trusts</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59,495</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12,635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46,860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equity and fixed income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54,392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52,323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19,345</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19,345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rate swap derivatives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4,851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4,851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Level 2 financial instruments included in the tables above as of June 30, 2025 and December 31, 2024 consist of interest rate swap derivative assets/liabilities held by GEO, investments in equity and fixed income securities held in the Company’s captive insurance subsidiary, Florina Insurance Company, Inc. ("Florina"), the Company's rabbi trust established for employer contributions to The GEO Group, Inc. Non-qualified Deferred Compensation Plan and other non-current assets which include the cash surrender value of company-owned life insurance policies. The Company's Level 1 financial instruments included in the table above as of June 30, 2025 consist of money market funds held in Florina and money market funds held in the Company's rabbi trust established for its Executive Chairman's retirement account.</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interest rate swap derivative assets are valued using a discounted cash flow model based on projected borrowing rates. The Company's restricted investment in the rabbi trust for The GEO Group, Inc. Non-qualified Deferred Compensation Plan is invested in Company-owned life insurance policies which are recorded at their cash surrender values. These investments are valued based on the underlying investments held in the policies' separate accounts. The underlying assets are equity and fixed income pooled funds. The marketable equity and fixed income securities are valued using quoted rates. The company-owned life insurance policies included in other non-current assets are valued at their cash surrender values.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FAIR VALUE OF ASSETS AND LIABILITIES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reflect certain financial assets and liabilities at carrying value. The carrying value of certain debt instruments, if applicable, is net of unamortized discount. The following tables present the carrying values of those financial instruments and the estimated corresponding fair values at June 30, 2025 and 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gridSpan w:val="10"/>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Estimated Fair Value Measurements at June 30, 2025</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140" w:type="dxa"/>
            <w:vAlign w:val="bottom"/>
          </w:tcPr>
          <w:p>
            <w:pPr>
              <w:spacing w:after="0"/>
              <w:rPr>
                <w:sz w:val="12"/>
                <w:szCs w:val="12"/>
                <w:color w:val="auto"/>
              </w:rPr>
            </w:pPr>
          </w:p>
        </w:tc>
        <w:tc>
          <w:tcPr>
            <w:tcW w:w="100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67,861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67,861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67,861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33,680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33,680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33,680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under credit agreement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411,867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413,351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413,351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8.625% Senior Secured Notes due 2029</w:t>
            </w:r>
          </w:p>
        </w:tc>
        <w:tc>
          <w:tcPr>
            <w:tcW w:w="14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688,441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688,441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10.250% Senior Notes due 2031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686,156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686,156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2"/>
        </w:trPr>
        <w:tc>
          <w:tcPr>
            <w:tcW w:w="5160" w:type="dxa"/>
            <w:vAlign w:val="bottom"/>
          </w:tcPr>
          <w:p>
            <w:pPr>
              <w:spacing w:after="0"/>
              <w:rPr>
                <w:sz w:val="24"/>
                <w:szCs w:val="24"/>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0"/>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Estimated Fair Value Measurements at December 31, 2024</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140" w:type="dxa"/>
            <w:vAlign w:val="bottom"/>
          </w:tcPr>
          <w:p>
            <w:pPr>
              <w:spacing w:after="0"/>
              <w:rPr>
                <w:sz w:val="12"/>
                <w:szCs w:val="12"/>
                <w:color w:val="auto"/>
              </w:rPr>
            </w:pPr>
          </w:p>
        </w:tc>
        <w:tc>
          <w:tcPr>
            <w:tcW w:w="100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76,896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76,896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76,896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48,968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48,968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48,968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under credit agreement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430,823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436,838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436,838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8.625% Senior Secured Notes due 2029</w:t>
            </w:r>
          </w:p>
        </w:tc>
        <w:tc>
          <w:tcPr>
            <w:tcW w:w="140" w:type="dxa"/>
            <w:vAlign w:val="bottom"/>
          </w:tcPr>
          <w:p>
            <w:pPr>
              <w:spacing w:after="0"/>
              <w:rPr>
                <w:sz w:val="18"/>
                <w:szCs w:val="18"/>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687,239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687,239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10.250% Senior Notes due 2031</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682,281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682,281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6.50% Exchangeable Senior Notes due 2026</w:t>
            </w:r>
          </w:p>
        </w:tc>
        <w:tc>
          <w:tcPr>
            <w:tcW w:w="14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values of the Company’s cash and cash equivalents, and restricted cash and investments approximates the carrying values of these assets at June 30, 2025 and December 31, 2024. Restricted cash consists of money market funds, bank deposits, commercial paper and time deposits used for asset replacement funds and other funds contractually required to be maintained at the Company's Australian subsidiary. It also includes cash on hand in the Company’s captive insurance subsidiary, Florina. The fair value of the money market funds and bank deposits is based on quoted market prices (Level 1).</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recurring fair values of the Company's 8.625% Secured Notes due 2029 and the 10.250% Senior Notes due 2031 are based on Level 2 inputs using quotations by major market news services, such as Bloomberg. The fair value of the Company's Credit Agreement was also based on quotations by major market news services and also estimates of trading value considering the Company's borrowing rate, the undrawn spread and similar instruments.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the fair values of the Company's 6.50% Exchangeable Senior Notes due 2026 are based on Level 2 inputs by major market news services. During the first quarter of 2025, the Company retired the remaining principal balance of its 6.50% Exchangeable Senior Notes due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RESTRICTED CASH AND CASH EQUIVALENTS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and cash equivalents reported on the consolidated balance sheets that sum to the total of the same such amounts shown in the consolidated statements of cash flows: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67,861</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46,299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 current</w:t>
            </w:r>
          </w:p>
        </w:tc>
        <w:tc>
          <w:tcPr>
            <w:tcW w:w="18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investments - non-current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170,374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141,312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investments - non-current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(71,173)</w:t>
            </w:r>
          </w:p>
        </w:tc>
        <w:tc>
          <w:tcPr>
            <w:tcW w:w="0" w:type="dxa"/>
            <w:vAlign w:val="bottom"/>
          </w:tcPr>
          <w:p>
            <w:pPr>
              <w:spacing w:after="0"/>
              <w:rPr>
                <w:sz w:val="1"/>
                <w:szCs w:val="1"/>
                <w:color w:val="auto"/>
              </w:rPr>
            </w:pPr>
          </w:p>
        </w:tc>
      </w:tr>
      <w:tr>
        <w:trPr>
          <w:trHeight w:val="191"/>
        </w:trPr>
        <w:tc>
          <w:tcPr>
            <w:tcW w:w="53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and cash</w:t>
            </w:r>
          </w:p>
        </w:tc>
        <w:tc>
          <w:tcPr>
            <w:tcW w:w="180" w:type="dxa"/>
            <w:vAlign w:val="bottom"/>
            <w:vMerge w:val="restart"/>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120,621</w:t>
            </w:r>
          </w:p>
        </w:tc>
        <w:tc>
          <w:tcPr>
            <w:tcW w:w="120" w:type="dxa"/>
            <w:vAlign w:val="bottom"/>
            <w:vMerge w:val="restart"/>
            <w:shd w:val="clear" w:color="auto" w:fill="CFF0FC"/>
          </w:tcPr>
          <w:p>
            <w:pPr>
              <w:spacing w:after="0"/>
              <w:rPr>
                <w:sz w:val="16"/>
                <w:szCs w:val="16"/>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122,678</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equivalents shown in the statement of cash flows</w:t>
            </w: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Amounts included in restricted cash and cash equivalents are attributable to certain contractual cash restriction requirements at the Company's wholly owned Australian subsidiary, asset replacement funds contractually required to be maintained and other guarantees and cash on hand in the Company’s captive insurance subsidiary, Florina. Restricted investments - non-current (included in Restricted Cash and Investments in the accompanying consolidated balance sheets) consists of the Company's rabbi trust established for employee and employer contributions to The GEO Group, Inc. Non-qualified Deferred Compensation Plan, its rabbi trust established for its Executive Chairman's retirement account held in a money market fund, investments in equity and fixed income securities and money market funds held in the Company’s captive insurance subsidiary, Florina, and certain contractual cash requirements at the Company’s wholly owned Australian subsidiary related to certain performance guarantees at its Ravenhall facility. The investments held in the rabbi trust related to The GEO Group, Inc. Non-Qualified Deferred Compensation Plan and the investments in equity and fixed income mutual funds held in Florina are restricted investments that are not considered to be restricted cash and cash equivalents in the accompanying consolidated statements of cash flows. Refer to Note 3 - Financial Instruments.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shareholders’ equity that are attributable to the Company’s shareholders and to noncontrolling interests for the three and six months ended June 30, 2025 and 2024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2080" w:type="dxa"/>
            <w:vAlign w:val="bottom"/>
            <w:gridSpan w:val="4"/>
            <w:vMerge w:val="restart"/>
          </w:tcPr>
          <w:p>
            <w:pPr>
              <w:jc w:val="right"/>
              <w:ind w:right="682"/>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23"/>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7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143"/>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303"/>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0"/>
                <w:szCs w:val="10"/>
                <w:color w:val="auto"/>
              </w:rPr>
            </w:pPr>
          </w:p>
        </w:tc>
        <w:tc>
          <w:tcPr>
            <w:tcW w:w="9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2"/>
              </w:rPr>
              <w:t>Comprehensive</w:t>
            </w:r>
          </w:p>
        </w:tc>
        <w:tc>
          <w:tcPr>
            <w:tcW w:w="170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122"/>
              <w:spacing w:after="0" w:line="124"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143"/>
              <w:spacing w:after="0" w:line="124"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99"/>
        </w:trPr>
        <w:tc>
          <w:tcPr>
            <w:tcW w:w="1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000" w:type="dxa"/>
            <w:vAlign w:val="bottom"/>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8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9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6"/>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2"/>
                <w:szCs w:val="12"/>
                <w:b w:val="1"/>
                <w:bCs w:val="1"/>
                <w:i w:val="1"/>
                <w:iCs w:val="1"/>
                <w:color w:val="auto"/>
              </w:rPr>
              <w:t>For the Three Months Ended</w:t>
            </w:r>
          </w:p>
        </w:tc>
        <w:tc>
          <w:tcPr>
            <w:tcW w:w="10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June 30, 2025</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Balance, April 1, 2025</w:t>
            </w:r>
          </w:p>
        </w:tc>
        <w:tc>
          <w:tcPr>
            <w:tcW w:w="100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141,205</w:t>
            </w:r>
          </w:p>
        </w:tc>
        <w:tc>
          <w:tcPr>
            <w:tcW w:w="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1,412</w:t>
            </w: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1,302,902</w:t>
            </w:r>
          </w:p>
        </w:tc>
        <w:tc>
          <w:tcPr>
            <w:tcW w:w="2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59,438</w:t>
            </w: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23"/>
              <w:spacing w:after="0" w:line="135" w:lineRule="exact"/>
              <w:rPr>
                <w:sz w:val="20"/>
                <w:szCs w:val="20"/>
                <w:color w:val="auto"/>
              </w:rPr>
            </w:pPr>
            <w:r>
              <w:rPr>
                <w:rFonts w:ascii="Times New Roman" w:cs="Times New Roman" w:eastAsia="Times New Roman" w:hAnsi="Times New Roman"/>
                <w:sz w:val="12"/>
                <w:szCs w:val="12"/>
                <w:color w:val="auto"/>
              </w:rPr>
              <w:t>(20,654)</w:t>
            </w:r>
          </w:p>
        </w:tc>
        <w:tc>
          <w:tcPr>
            <w:tcW w:w="100" w:type="dxa"/>
            <w:vAlign w:val="bottom"/>
          </w:tcPr>
          <w:p>
            <w:pPr>
              <w:spacing w:after="0"/>
              <w:rPr>
                <w:sz w:val="11"/>
                <w:szCs w:val="11"/>
                <w:color w:val="auto"/>
              </w:rPr>
            </w:pPr>
          </w:p>
        </w:tc>
        <w:tc>
          <w:tcPr>
            <w:tcW w:w="960" w:type="dxa"/>
            <w:vAlign w:val="bottom"/>
          </w:tcPr>
          <w:p>
            <w:pPr>
              <w:ind w:left="7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526"/>
              <w:spacing w:after="0" w:line="135"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6"/>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(1,550)</w:t>
            </w:r>
          </w:p>
        </w:tc>
        <w:tc>
          <w:tcPr>
            <w:tcW w:w="1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1,341,548</w:t>
            </w: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Proceeds from exercise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of stock options</w:t>
            </w:r>
          </w:p>
        </w:tc>
        <w:tc>
          <w:tcPr>
            <w:tcW w:w="10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2"/>
                <w:szCs w:val="12"/>
                <w:color w:val="auto"/>
              </w:rPr>
              <w:t>862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2"/>
                <w:szCs w:val="12"/>
                <w:color w:val="auto"/>
              </w:rPr>
              <w:t>863</w:t>
            </w: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Stock-based compensation</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expense</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5,506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5,506</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Restricted stock canceled</w:t>
            </w:r>
          </w:p>
        </w:tc>
        <w:tc>
          <w:tcPr>
            <w:tcW w:w="10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Issuance of common</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 ESPP</w:t>
            </w: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100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29,108</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(34)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29,074</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1000" w:type="dxa"/>
            <w:vAlign w:val="bottom"/>
            <w:tcBorders>
              <w:bottom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20" w:type="dxa"/>
            <w:vAlign w:val="bottom"/>
            <w:tcBorders>
              <w:bottom w:val="single" w:sz="8" w:color="auto"/>
            </w:tcBorders>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4,400</w:t>
            </w:r>
          </w:p>
        </w:tc>
        <w:tc>
          <w:tcPr>
            <w:tcW w:w="100" w:type="dxa"/>
            <w:vAlign w:val="bottom"/>
          </w:tcPr>
          <w:p>
            <w:pPr>
              <w:spacing w:after="0"/>
              <w:rPr>
                <w:sz w:val="11"/>
                <w:szCs w:val="11"/>
                <w:color w:val="auto"/>
              </w:rPr>
            </w:pPr>
          </w:p>
        </w:tc>
        <w:tc>
          <w:tcPr>
            <w:tcW w:w="960" w:type="dxa"/>
            <w:vAlign w:val="bottom"/>
            <w:tcBorders>
              <w:bottom w:val="single" w:sz="8" w:color="auto"/>
            </w:tcBorders>
          </w:tcPr>
          <w:p>
            <w:pPr>
              <w:ind w:left="7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3"/>
              <w:spacing w:after="0" w:line="135" w:lineRule="exact"/>
              <w:rPr>
                <w:sz w:val="20"/>
                <w:szCs w:val="20"/>
                <w:color w:val="auto"/>
              </w:rPr>
            </w:pPr>
            <w:r>
              <w:rPr>
                <w:rFonts w:ascii="Times New Roman" w:cs="Times New Roman" w:eastAsia="Times New Roman" w:hAnsi="Times New Roman"/>
                <w:sz w:val="12"/>
                <w:szCs w:val="12"/>
                <w:color w:val="auto"/>
              </w:rPr>
              <w:t>4,382</w:t>
            </w:r>
          </w:p>
        </w:tc>
        <w:tc>
          <w:tcPr>
            <w:tcW w:w="0" w:type="dxa"/>
            <w:vAlign w:val="bottom"/>
          </w:tcPr>
          <w:p>
            <w:pPr>
              <w:spacing w:after="0"/>
              <w:rPr>
                <w:sz w:val="1"/>
                <w:szCs w:val="1"/>
                <w:color w:val="auto"/>
              </w:rPr>
            </w:pPr>
          </w:p>
        </w:tc>
      </w:tr>
      <w:tr>
        <w:trPr>
          <w:trHeight w:val="148"/>
        </w:trPr>
        <w:tc>
          <w:tcPr>
            <w:tcW w:w="1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June 30, 2025</w:t>
            </w:r>
          </w:p>
        </w:tc>
        <w:tc>
          <w:tcPr>
            <w:tcW w:w="1000" w:type="dxa"/>
            <w:vAlign w:val="bottom"/>
            <w:shd w:val="clear" w:color="auto" w:fill="CFF0FC"/>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141,245</w:t>
            </w: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ind w:right="82"/>
              <w:spacing w:after="0" w:line="129" w:lineRule="exact"/>
              <w:rPr>
                <w:sz w:val="20"/>
                <w:szCs w:val="20"/>
                <w:color w:val="auto"/>
              </w:rPr>
            </w:pPr>
            <w:r>
              <w:rPr>
                <w:rFonts w:ascii="Times New Roman" w:cs="Times New Roman" w:eastAsia="Times New Roman" w:hAnsi="Times New Roman"/>
                <w:sz w:val="12"/>
                <w:szCs w:val="12"/>
                <w:color w:val="auto"/>
              </w:rPr>
              <w:t>1,413</w:t>
            </w:r>
          </w:p>
        </w:tc>
        <w:tc>
          <w:tcPr>
            <w:tcW w:w="2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ind w:right="63"/>
              <w:spacing w:after="0" w:line="129" w:lineRule="exact"/>
              <w:rPr>
                <w:sz w:val="20"/>
                <w:szCs w:val="20"/>
                <w:color w:val="auto"/>
              </w:rPr>
            </w:pPr>
            <w:r>
              <w:rPr>
                <w:rFonts w:ascii="Times New Roman" w:cs="Times New Roman" w:eastAsia="Times New Roman" w:hAnsi="Times New Roman"/>
                <w:sz w:val="12"/>
                <w:szCs w:val="12"/>
                <w:color w:val="auto"/>
              </w:rPr>
              <w:t>1,309,317</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ind w:right="63"/>
              <w:spacing w:after="0" w:line="129" w:lineRule="exact"/>
              <w:rPr>
                <w:sz w:val="20"/>
                <w:szCs w:val="20"/>
                <w:color w:val="auto"/>
              </w:rPr>
            </w:pPr>
            <w:r>
              <w:rPr>
                <w:rFonts w:ascii="Times New Roman" w:cs="Times New Roman" w:eastAsia="Times New Roman" w:hAnsi="Times New Roman"/>
                <w:sz w:val="12"/>
                <w:szCs w:val="12"/>
                <w:color w:val="auto"/>
              </w:rPr>
              <w:t>88,546</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ind w:right="23"/>
              <w:spacing w:after="0" w:line="129" w:lineRule="exact"/>
              <w:rPr>
                <w:sz w:val="20"/>
                <w:szCs w:val="20"/>
                <w:color w:val="auto"/>
              </w:rPr>
            </w:pPr>
            <w:r>
              <w:rPr>
                <w:rFonts w:ascii="Times New Roman" w:cs="Times New Roman" w:eastAsia="Times New Roman" w:hAnsi="Times New Roman"/>
                <w:sz w:val="12"/>
                <w:szCs w:val="12"/>
                <w:color w:val="auto"/>
              </w:rPr>
              <w:t>(16,254)</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ind w:left="7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526"/>
              <w:spacing w:after="0" w:line="129"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ind w:right="6"/>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color w:val="auto"/>
              </w:rPr>
              <w:t>(1,602)</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ind w:right="63"/>
              <w:spacing w:after="0" w:line="129" w:lineRule="exact"/>
              <w:rPr>
                <w:sz w:val="20"/>
                <w:szCs w:val="20"/>
                <w:color w:val="auto"/>
              </w:rPr>
            </w:pPr>
            <w:r>
              <w:rPr>
                <w:rFonts w:ascii="Times New Roman" w:cs="Times New Roman" w:eastAsia="Times New Roman" w:hAnsi="Times New Roman"/>
                <w:sz w:val="12"/>
                <w:szCs w:val="12"/>
                <w:color w:val="auto"/>
              </w:rPr>
              <w:t>1,381,420</w:t>
            </w: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-25400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-8255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26"/>
        </w:trPr>
        <w:tc>
          <w:tcPr>
            <w:tcW w:w="1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2080" w:type="dxa"/>
            <w:vAlign w:val="bottom"/>
            <w:gridSpan w:val="6"/>
            <w:vMerge w:val="restart"/>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9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0"/>
                <w:szCs w:val="10"/>
                <w:color w:val="auto"/>
              </w:rPr>
            </w:pPr>
          </w:p>
        </w:tc>
        <w:tc>
          <w:tcPr>
            <w:tcW w:w="2080" w:type="dxa"/>
            <w:vAlign w:val="bottom"/>
            <w:tcBorders>
              <w:bottom w:val="single" w:sz="8" w:color="auto"/>
            </w:tcBorders>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8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80" w:type="dxa"/>
            <w:vAlign w:val="bottom"/>
          </w:tcPr>
          <w:p>
            <w:pPr>
              <w:spacing w:after="0"/>
              <w:rPr>
                <w:sz w:val="10"/>
                <w:szCs w:val="10"/>
                <w:color w:val="auto"/>
              </w:rPr>
            </w:pPr>
          </w:p>
        </w:tc>
        <w:tc>
          <w:tcPr>
            <w:tcW w:w="92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2"/>
              </w:rPr>
              <w:t>Comprehensive</w:t>
            </w:r>
          </w:p>
        </w:tc>
        <w:tc>
          <w:tcPr>
            <w:tcW w:w="1980" w:type="dxa"/>
            <w:vAlign w:val="bottom"/>
            <w:tcBorders>
              <w:bottom w:val="single" w:sz="8" w:color="auto"/>
            </w:tcBorders>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99"/>
        </w:trPr>
        <w:tc>
          <w:tcPr>
            <w:tcW w:w="1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80" w:type="dxa"/>
            <w:vAlign w:val="bottom"/>
          </w:tcPr>
          <w:p>
            <w:pPr>
              <w:spacing w:after="0"/>
              <w:rPr>
                <w:sz w:val="11"/>
                <w:szCs w:val="11"/>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6"/>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2"/>
                <w:szCs w:val="12"/>
                <w:b w:val="1"/>
                <w:bCs w:val="1"/>
                <w:i w:val="1"/>
                <w:iCs w:val="1"/>
                <w:color w:val="auto"/>
              </w:rPr>
              <w:t>For the Three Months Ended</w:t>
            </w:r>
          </w:p>
        </w:tc>
        <w:tc>
          <w:tcPr>
            <w:tcW w:w="8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June 30, 2024</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Balance, April 1, 2024</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126,457</w:t>
            </w:r>
          </w:p>
        </w:tc>
        <w:tc>
          <w:tcPr>
            <w:tcW w:w="120" w:type="dxa"/>
            <w:vAlign w:val="bottom"/>
          </w:tcPr>
          <w:p>
            <w:pPr>
              <w:spacing w:after="0"/>
              <w:rPr>
                <w:sz w:val="11"/>
                <w:szCs w:val="11"/>
                <w:color w:val="auto"/>
              </w:rPr>
            </w:pPr>
          </w:p>
        </w:tc>
        <w:tc>
          <w:tcPr>
            <w:tcW w:w="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1,307</w:t>
            </w:r>
          </w:p>
        </w:tc>
        <w:tc>
          <w:tcPr>
            <w:tcW w:w="12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1,297,998</w:t>
            </w:r>
          </w:p>
        </w:tc>
        <w:tc>
          <w:tcPr>
            <w:tcW w:w="1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125,757</w:t>
            </w:r>
          </w:p>
        </w:tc>
        <w:tc>
          <w:tcPr>
            <w:tcW w:w="1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(19,815)</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4,210</w:t>
            </w:r>
          </w:p>
        </w:tc>
        <w:tc>
          <w:tcPr>
            <w:tcW w:w="10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(95,175)</w:t>
            </w:r>
          </w:p>
        </w:tc>
        <w:tc>
          <w:tcPr>
            <w:tcW w:w="240" w:type="dxa"/>
            <w:vAlign w:val="bottom"/>
            <w:gridSpan w:val="2"/>
          </w:tcPr>
          <w:p>
            <w:pPr>
              <w:jc w:val="right"/>
              <w:ind w:right="6"/>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(1,451)</w:t>
            </w:r>
          </w:p>
        </w:tc>
        <w:tc>
          <w:tcPr>
            <w:tcW w:w="1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1,308,621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Proceeds from exercise of</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Restricted stock granted</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625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(6)</w:t>
            </w:r>
          </w:p>
        </w:tc>
        <w:tc>
          <w:tcPr>
            <w:tcW w:w="18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Restricted stock canceled</w:t>
            </w: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Issuance of common</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shares [2]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8,205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(1,695)</w:t>
            </w: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(1,613)</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Reissuance of treasury shares [2]</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(95,175)</w:t>
            </w:r>
          </w:p>
        </w:tc>
        <w:tc>
          <w:tcPr>
            <w:tcW w:w="180" w:type="dxa"/>
            <w:vAlign w:val="bottom"/>
          </w:tcPr>
          <w:p>
            <w:pPr>
              <w:spacing w:after="0"/>
              <w:rPr>
                <w:sz w:val="11"/>
                <w:szCs w:val="11"/>
                <w:color w:val="auto"/>
              </w:rPr>
            </w:pPr>
          </w:p>
        </w:tc>
        <w:tc>
          <w:tcPr>
            <w:tcW w:w="9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(4,210)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95,175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Shares withheld for net</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settlements of share-</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based awards [1]</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Issuance of common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 ESPP</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(32,513)</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(32,563)</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1000" w:type="dxa"/>
            <w:vAlign w:val="bottom"/>
            <w:tcBorders>
              <w:bottom w:val="single" w:sz="8" w:color="auto"/>
            </w:tcBorders>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40" w:type="dxa"/>
            <w:vAlign w:val="bottom"/>
            <w:tcBorders>
              <w:bottom w:val="single" w:sz="8" w:color="auto"/>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2,845</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2,830</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June 30, 2024</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139,551</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1,396</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1,299,558</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(1,931)</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(16,970)</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ind w:right="6"/>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(1,516)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1,280,537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9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960" w:type="dxa"/>
            <w:vAlign w:val="bottom"/>
            <w:gridSpan w:val="5"/>
            <w:vMerge w:val="restart"/>
          </w:tcPr>
          <w:p>
            <w:pPr>
              <w:jc w:val="right"/>
              <w:ind w:right="562"/>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80" w:type="dxa"/>
            <w:vAlign w:val="bottom"/>
            <w:gridSpan w:val="5"/>
            <w:vMerge w:val="restart"/>
          </w:tcPr>
          <w:p>
            <w:pPr>
              <w:jc w:val="right"/>
              <w:ind w:right="522"/>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0"/>
                <w:szCs w:val="10"/>
                <w:color w:val="auto"/>
              </w:rPr>
            </w:pPr>
          </w:p>
        </w:tc>
        <w:tc>
          <w:tcPr>
            <w:tcW w:w="196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8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80" w:type="dxa"/>
            <w:vAlign w:val="bottom"/>
          </w:tcPr>
          <w:p>
            <w:pPr>
              <w:spacing w:after="0"/>
              <w:rPr>
                <w:sz w:val="10"/>
                <w:szCs w:val="10"/>
                <w:color w:val="auto"/>
              </w:rPr>
            </w:pPr>
          </w:p>
        </w:tc>
        <w:tc>
          <w:tcPr>
            <w:tcW w:w="92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2"/>
              </w:rPr>
              <w:t>Comprehensive</w:t>
            </w:r>
          </w:p>
        </w:tc>
        <w:tc>
          <w:tcPr>
            <w:tcW w:w="1880" w:type="dxa"/>
            <w:vAlign w:val="bottom"/>
            <w:tcBorders>
              <w:bottom w:val="single" w:sz="8" w:color="auto"/>
            </w:tcBorders>
            <w:gridSpan w:val="5"/>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99"/>
        </w:trPr>
        <w:tc>
          <w:tcPr>
            <w:tcW w:w="1900" w:type="dxa"/>
            <w:vAlign w:val="bottom"/>
          </w:tcPr>
          <w:p>
            <w:pPr>
              <w:spacing w:after="0"/>
              <w:rPr>
                <w:sz w:val="8"/>
                <w:szCs w:val="8"/>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2"/>
                <w:szCs w:val="12"/>
                <w:b w:val="1"/>
                <w:bCs w:val="1"/>
                <w:i w:val="1"/>
                <w:iCs w:val="1"/>
                <w:color w:val="auto"/>
              </w:rPr>
              <w:t>For the Six Months Ended</w:t>
            </w:r>
          </w:p>
        </w:tc>
        <w:tc>
          <w:tcPr>
            <w:tcW w:w="8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June 30, 2025</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Balance January 1, 2025</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140,181</w:t>
            </w:r>
          </w:p>
        </w:tc>
        <w:tc>
          <w:tcPr>
            <w:tcW w:w="120" w:type="dxa"/>
            <w:vAlign w:val="bottom"/>
          </w:tcPr>
          <w:p>
            <w:pPr>
              <w:spacing w:after="0"/>
              <w:rPr>
                <w:sz w:val="11"/>
                <w:szCs w:val="11"/>
                <w:color w:val="auto"/>
              </w:rPr>
            </w:pPr>
          </w:p>
        </w:tc>
        <w:tc>
          <w:tcPr>
            <w:tcW w:w="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1,402</w:t>
            </w:r>
          </w:p>
        </w:tc>
        <w:tc>
          <w:tcPr>
            <w:tcW w:w="12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1,315,256</w:t>
            </w:r>
          </w:p>
        </w:tc>
        <w:tc>
          <w:tcPr>
            <w:tcW w:w="1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39,880</w:t>
            </w:r>
          </w:p>
        </w:tc>
        <w:tc>
          <w:tcPr>
            <w:tcW w:w="1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(21,602)</w:t>
            </w: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6"/>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(1,522)</w:t>
            </w:r>
          </w:p>
        </w:tc>
        <w:tc>
          <w:tcPr>
            <w:tcW w:w="1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1,333,414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Proceeds from exercise of</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4,166</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Restricted stock granted</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(18)</w:t>
            </w:r>
          </w:p>
        </w:tc>
        <w:tc>
          <w:tcPr>
            <w:tcW w:w="18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Restricted stock canceled</w:t>
            </w: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Shares withheld for net</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settlements of share-</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based awards [1]</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(906)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(22,168)</w:t>
            </w: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(22,177)</w:t>
            </w: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Issuance of common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 ESPP</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Net income</w:t>
            </w: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48,666</w:t>
            </w: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48,616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5,348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5,318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June 30, 2025</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141,245</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1,413</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1,309,317</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88,546</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(16,254)</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(1,602)</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1,381,420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9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20" w:type="dxa"/>
            <w:vAlign w:val="bottom"/>
            <w:tcBorders>
              <w:top w:val="single" w:sz="8" w:color="CFF0FC"/>
            </w:tcBorders>
            <w:gridSpan w:val="2"/>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2080" w:type="dxa"/>
            <w:vAlign w:val="bottom"/>
            <w:gridSpan w:val="6"/>
            <w:vMerge w:val="restart"/>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9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208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8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80" w:type="dxa"/>
            <w:vAlign w:val="bottom"/>
          </w:tcPr>
          <w:p>
            <w:pPr>
              <w:spacing w:after="0"/>
              <w:rPr>
                <w:sz w:val="10"/>
                <w:szCs w:val="10"/>
                <w:color w:val="auto"/>
              </w:rPr>
            </w:pPr>
          </w:p>
        </w:tc>
        <w:tc>
          <w:tcPr>
            <w:tcW w:w="92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2"/>
              </w:rPr>
              <w:t>Comprehensive</w:t>
            </w:r>
          </w:p>
        </w:tc>
        <w:tc>
          <w:tcPr>
            <w:tcW w:w="198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7"/>
              </w:rPr>
              <w:t>Shareholders'</w:t>
            </w:r>
          </w:p>
        </w:tc>
        <w:tc>
          <w:tcPr>
            <w:tcW w:w="0" w:type="dxa"/>
            <w:vAlign w:val="bottom"/>
          </w:tcPr>
          <w:p>
            <w:pPr>
              <w:spacing w:after="0"/>
              <w:rPr>
                <w:sz w:val="1"/>
                <w:szCs w:val="1"/>
                <w:color w:val="auto"/>
              </w:rPr>
            </w:pPr>
          </w:p>
        </w:tc>
      </w:tr>
      <w:tr>
        <w:trPr>
          <w:trHeight w:val="99"/>
        </w:trPr>
        <w:tc>
          <w:tcPr>
            <w:tcW w:w="19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8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80" w:type="dxa"/>
            <w:vAlign w:val="bottom"/>
          </w:tcPr>
          <w:p>
            <w:pPr>
              <w:spacing w:after="0"/>
              <w:rPr>
                <w:sz w:val="11"/>
                <w:szCs w:val="11"/>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6"/>
        </w:trPr>
        <w:tc>
          <w:tcPr>
            <w:tcW w:w="19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2"/>
                <w:szCs w:val="12"/>
                <w:b w:val="1"/>
                <w:bCs w:val="1"/>
                <w:i w:val="1"/>
                <w:iCs w:val="1"/>
                <w:color w:val="auto"/>
              </w:rPr>
              <w:t>For the Six Months Ended</w:t>
            </w:r>
          </w:p>
        </w:tc>
        <w:tc>
          <w:tcPr>
            <w:tcW w:w="8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auto"/>
              </w:rPr>
              <w:t>June 30, 2024</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Balance, January 1, 2024</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126,087</w:t>
            </w:r>
          </w:p>
        </w:tc>
        <w:tc>
          <w:tcPr>
            <w:tcW w:w="120" w:type="dxa"/>
            <w:vAlign w:val="bottom"/>
          </w:tcPr>
          <w:p>
            <w:pPr>
              <w:spacing w:after="0"/>
              <w:rPr>
                <w:sz w:val="11"/>
                <w:szCs w:val="11"/>
                <w:color w:val="auto"/>
              </w:rPr>
            </w:pPr>
          </w:p>
        </w:tc>
        <w:tc>
          <w:tcPr>
            <w:tcW w:w="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1,303</w:t>
            </w:r>
          </w:p>
        </w:tc>
        <w:tc>
          <w:tcPr>
            <w:tcW w:w="12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1,299,193</w:t>
            </w:r>
          </w:p>
        </w:tc>
        <w:tc>
          <w:tcPr>
            <w:tcW w:w="1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103,089</w:t>
            </w:r>
          </w:p>
        </w:tc>
        <w:tc>
          <w:tcPr>
            <w:tcW w:w="1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(16,642)</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4,210</w:t>
            </w:r>
          </w:p>
        </w:tc>
        <w:tc>
          <w:tcPr>
            <w:tcW w:w="100" w:type="dxa"/>
            <w:vAlign w:val="bottom"/>
          </w:tcPr>
          <w:p>
            <w:pPr>
              <w:spacing w:after="0"/>
              <w:rPr>
                <w:sz w:val="11"/>
                <w:szCs w:val="11"/>
                <w:color w:val="auto"/>
              </w:rPr>
            </w:pPr>
          </w:p>
        </w:tc>
        <w:tc>
          <w:tcPr>
            <w:tcW w:w="2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(95,175)</w:t>
            </w:r>
          </w:p>
        </w:tc>
        <w:tc>
          <w:tcPr>
            <w:tcW w:w="240" w:type="dxa"/>
            <w:vAlign w:val="bottom"/>
            <w:gridSpan w:val="2"/>
          </w:tcPr>
          <w:p>
            <w:pPr>
              <w:jc w:val="right"/>
              <w:ind w:right="6"/>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(1,454)</w:t>
            </w:r>
          </w:p>
        </w:tc>
        <w:tc>
          <w:tcPr>
            <w:tcW w:w="1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1,290,314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Proceeds from exercise</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of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Stock-based compensation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Restricted stock granted</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1,554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18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Restricted stock canceled</w:t>
            </w: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Shares withheld for net</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2"/>
                <w:szCs w:val="12"/>
                <w:color w:val="auto"/>
              </w:rPr>
              <w:t>settlements of share-</w:t>
            </w: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based awards [1]</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(618)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(7,457)</w:t>
            </w:r>
          </w:p>
        </w:tc>
        <w:tc>
          <w:tcPr>
            <w:tcW w:w="180" w:type="dxa"/>
            <w:vAlign w:val="bottom"/>
            <w:tcBorders>
              <w:right w:val="single" w:sz="8" w:color="CFF0FC"/>
            </w:tcBorders>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(7,463)</w:t>
            </w: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Issuance of common</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 ESPP</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Reissuance of treasury shares [2]</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4,210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(95,175)</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(4,210)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95,175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common shares [2]</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8,205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(1,695)</w:t>
            </w: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9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(1,613)</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(9,845)</w:t>
            </w:r>
          </w:p>
        </w:tc>
        <w:tc>
          <w:tcPr>
            <w:tcW w:w="180" w:type="dxa"/>
            <w:vAlign w:val="bottom"/>
            <w:tcBorders>
              <w:right w:val="single" w:sz="8" w:color="CFF0FC"/>
            </w:tcBorders>
            <w:shd w:val="clear" w:color="auto" w:fill="CFF0FC"/>
          </w:tcPr>
          <w:p>
            <w:pPr>
              <w:spacing w:after="0"/>
              <w:rPr>
                <w:sz w:val="11"/>
                <w:szCs w:val="11"/>
                <w:color w:val="auto"/>
              </w:rPr>
            </w:pPr>
          </w:p>
        </w:tc>
        <w:tc>
          <w:tcPr>
            <w:tcW w:w="9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(9,904)</w:t>
            </w:r>
          </w:p>
        </w:tc>
        <w:tc>
          <w:tcPr>
            <w:tcW w:w="0" w:type="dxa"/>
            <w:vAlign w:val="bottom"/>
          </w:tcPr>
          <w:p>
            <w:pPr>
              <w:spacing w:after="0"/>
              <w:rPr>
                <w:sz w:val="1"/>
                <w:szCs w:val="1"/>
                <w:color w:val="auto"/>
              </w:rPr>
            </w:pPr>
          </w:p>
        </w:tc>
      </w:tr>
      <w:tr>
        <w:trPr>
          <w:trHeight w:val="127"/>
        </w:trPr>
        <w:tc>
          <w:tcPr>
            <w:tcW w:w="190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Other comprehensive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(331)</w:t>
            </w:r>
          </w:p>
        </w:tc>
        <w:tc>
          <w:tcPr>
            <w:tcW w:w="0" w:type="dxa"/>
            <w:vAlign w:val="bottom"/>
          </w:tcPr>
          <w:p>
            <w:pPr>
              <w:spacing w:after="0"/>
              <w:rPr>
                <w:sz w:val="1"/>
                <w:szCs w:val="1"/>
                <w:color w:val="auto"/>
              </w:rPr>
            </w:pPr>
          </w:p>
        </w:tc>
      </w:tr>
      <w:tr>
        <w:trPr>
          <w:trHeight w:val="130"/>
        </w:trPr>
        <w:tc>
          <w:tcPr>
            <w:tcW w:w="190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color w:val="auto"/>
              </w:rPr>
              <w:t>income (loss)</w:t>
            </w:r>
          </w:p>
        </w:tc>
        <w:tc>
          <w:tcPr>
            <w:tcW w:w="8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9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June 30, 2024</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139,551</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1,396</w:t>
            </w:r>
          </w:p>
        </w:tc>
        <w:tc>
          <w:tcPr>
            <w:tcW w:w="1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1,299,558</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(1,931)</w:t>
            </w:r>
          </w:p>
        </w:tc>
        <w:tc>
          <w:tcPr>
            <w:tcW w:w="1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(16,970)</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(1,516)</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1,280,537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-4499610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-4482465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-4499610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-4482465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-4499610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-4482465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-4499610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-4482465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-4499610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-4482465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-4499610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-4482465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-4499610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-4482465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-4499610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-4482465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-2451100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-2433955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-2451100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-2433955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-2451100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-2433955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-2451100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-2433955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-2451100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-2433955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-2451100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-2433955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-2451100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-2433955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-2451100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-2433955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-24765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-8255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-8255</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 w:name="page13"/>
    <w:bookmarkEnd w:id="12"/>
    <w:p>
      <w:pPr>
        <w:ind w:right="156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withheld shares through net settlements to satisfy statutory tax withholding requirements upon the vesting of shares of restricted stock held by employees.</w:t>
      </w:r>
    </w:p>
    <w:p>
      <w:pPr>
        <w:spacing w:after="0" w:line="161" w:lineRule="exact"/>
        <w:rPr>
          <w:rFonts w:ascii="Times New Roman" w:cs="Times New Roman" w:eastAsia="Times New Roman" w:hAnsi="Times New Roman"/>
          <w:sz w:val="18"/>
          <w:szCs w:val="18"/>
          <w:color w:val="auto"/>
        </w:rPr>
      </w:pPr>
    </w:p>
    <w:p>
      <w:pPr>
        <w:ind w:right="1560" w:firstLine="8"/>
        <w:spacing w:after="0" w:line="261" w:lineRule="auto"/>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2024, the Company retired $229.4 million in aggregate principal amount of its outstanding 6.50% Exchangeable Senior Notes in private exchange transactions for an exchange value of approximately $410 million. The consideration consisted of cash of $229.4 million and 12,414,455 shares of GEO common stock. Of the total amount of shares issued, the Company issued 4,209,847 shares that were previously held in treasury. Refer to Note 10 - Debt for further information.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Automatic Shelf Registration on Form S-3</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30, 2023, the Company filed an automatic shelf registration statement on Form S-3 with the Securities and Exchange Commission (the “SEC”) that enables the Company to offer for sale, from time to time and as the capital markets permit, an unspecified amount of common stock, preferred stock, debt securities, guarantees of debt securities, warrants and units. The shelf registration statement became automatically effective upon filing and is valid for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December 28, 2023, in connection with the shelf registration, the Company filed with the SEC a prospectus supplement related to the offer and sale from time to time of our common stock at an aggregate offering price of up to $300 million through sales agents. Sales of shares of GEO's common stock under the prospectus supplement and equity distribution agreements entered into with the sales agents, if any, will be made in negotiated transactions or transactions that are deemed to be “at the market” offerings as defined in Rule 415 under the Securities Act of 1933. There were no shares of common stock sold under this prospectus supplement during the six months ended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9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Comprehensive income (loss) represents the change in shareholders' equity from transactions and other events and circumstances arising from non-shareholder sources. The Company's total comprehensive income (loss) is comprised of net income (loss) attributable to GEO, net loss attributable to noncontrolling interests, foreign currency translation adjustments that arise from consolidating foreign operations that do not impact cash flows, net unrealized gains and/or losses on derivative instruments, marketable securities and pension liability adjustments within shareholders' equity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attributable to GEO within shareholders' equity are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60" w:type="dxa"/>
            <w:vAlign w:val="bottom"/>
            <w:gridSpan w:val="11"/>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69"/>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820" w:type="dxa"/>
            <w:vAlign w:val="bottom"/>
            <w:gridSpan w:val="3"/>
          </w:tcPr>
          <w:p>
            <w:pPr>
              <w:jc w:val="center"/>
              <w:ind w:left="26"/>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9"/>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20" w:type="dxa"/>
            <w:vAlign w:val="bottom"/>
            <w:gridSpan w:val="3"/>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in 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9"/>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820" w:type="dxa"/>
            <w:vAlign w:val="bottom"/>
            <w:gridSpan w:val="3"/>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820" w:type="dxa"/>
            <w:vAlign w:val="bottom"/>
            <w:gridSpan w:val="3"/>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net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Borders>
              <w:bottom w:val="single" w:sz="8" w:color="auto"/>
            </w:tcBorders>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net of tax (1)</w:t>
            </w:r>
          </w:p>
        </w:tc>
        <w:tc>
          <w:tcPr>
            <w:tcW w:w="12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9"/>
              </w:rPr>
              <w:t>net of tax</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of tax</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net of tax</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(26,939)</w:t>
            </w:r>
          </w:p>
        </w:tc>
        <w:tc>
          <w:tcPr>
            <w:tcW w:w="660" w:type="dxa"/>
            <w:vAlign w:val="bottom"/>
            <w:tcBorders>
              <w:right w:val="single" w:sz="8" w:color="CFF0FC"/>
            </w:tcBorders>
            <w:gridSpan w:val="2"/>
            <w:shd w:val="clear" w:color="auto" w:fill="CFF0FC"/>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3,833</w:t>
            </w:r>
          </w:p>
        </w:tc>
        <w:tc>
          <w:tcPr>
            <w:tcW w:w="860" w:type="dxa"/>
            <w:vAlign w:val="bottom"/>
            <w:tcBorders>
              <w:right w:val="single" w:sz="8" w:color="CFF0FC"/>
            </w:tcBorders>
            <w:gridSpan w:val="3"/>
            <w:shd w:val="clear" w:color="auto" w:fill="CFF0FC"/>
          </w:tcPr>
          <w:p>
            <w:pPr>
              <w:jc w:val="center"/>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w:t>
            </w:r>
          </w:p>
        </w:tc>
        <w:tc>
          <w:tcPr>
            <w:tcW w:w="6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1,519</w:t>
            </w:r>
          </w:p>
        </w:tc>
        <w:tc>
          <w:tcPr>
            <w:tcW w:w="30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8"/>
                <w:szCs w:val="18"/>
                <w:color w:val="auto"/>
              </w:rPr>
              <w:t>6,051</w:t>
            </w:r>
          </w:p>
        </w:tc>
        <w:tc>
          <w:tcPr>
            <w:tcW w:w="120" w:type="dxa"/>
            <w:vAlign w:val="bottom"/>
          </w:tcPr>
          <w:p>
            <w:pPr>
              <w:spacing w:after="0"/>
              <w:rPr>
                <w:sz w:val="18"/>
                <w:szCs w:val="18"/>
                <w:color w:val="auto"/>
              </w:rPr>
            </w:pPr>
          </w:p>
        </w:tc>
        <w:tc>
          <w:tcPr>
            <w:tcW w:w="1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1"/>
              </w:rPr>
              <w:t>410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660" w:type="dxa"/>
            <w:vAlign w:val="bottom"/>
            <w:tcBorders>
              <w:right w:val="single" w:sz="8" w:color="CFF0FC"/>
            </w:tcBorders>
            <w:gridSpan w:val="2"/>
            <w:shd w:val="clear" w:color="auto" w:fill="CFF0FC"/>
          </w:tcPr>
          <w:p>
            <w:pPr>
              <w:jc w:val="right"/>
              <w:ind w:right="36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2,818</w:t>
            </w:r>
          </w:p>
        </w:tc>
        <w:tc>
          <w:tcPr>
            <w:tcW w:w="860" w:type="dxa"/>
            <w:vAlign w:val="bottom"/>
            <w:tcBorders>
              <w:right w:val="single" w:sz="8" w:color="CFF0FC"/>
            </w:tcBorders>
            <w:gridSpan w:val="3"/>
            <w:shd w:val="clear" w:color="auto" w:fill="CFF0FC"/>
          </w:tcPr>
          <w:p>
            <w:pPr>
              <w:jc w:val="center"/>
              <w:ind w:right="28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1"/>
              </w:rPr>
              <w:t>395</w:t>
            </w: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3"/>
              </w:rPr>
              <w:t>1,421</w:t>
            </w:r>
          </w:p>
        </w:tc>
        <w:tc>
          <w:tcPr>
            <w:tcW w:w="30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1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gridSpan w:val="3"/>
          </w:tcPr>
          <w:p>
            <w:pPr>
              <w:jc w:val="center"/>
              <w:ind w:right="86"/>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 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net of tax (1)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(19,755)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3,041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(20,922)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3,856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right w:val="single" w:sz="8" w:color="CFF0FC"/>
            </w:tcBorders>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-1302385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-1285240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-1302385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-1285240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-1302385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-1285240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-1302385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-1285240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83" w:lineRule="exact"/>
        <w:rPr>
          <w:sz w:val="20"/>
          <w:szCs w:val="20"/>
          <w:color w:val="auto"/>
        </w:rPr>
      </w:pPr>
    </w:p>
    <w:p>
      <w:pPr>
        <w:ind w:left="760" w:hanging="378"/>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currency translation related to noncontrolling interests was not significant at June 30, 2025 or 2024.</w:t>
      </w:r>
    </w:p>
    <w:p>
      <w:pPr>
        <w:spacing w:after="0" w:line="3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9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Board adopted The GEO Group, Inc. Second Amended and Restated 2018 Stock Incentive Plan (the “Amended 2018 Plan”), which was approved by the Company's shareholders and became effective on May 3, 2024. The Amended 2018 Plan supersedes the previous 2018 Stock Incentive Plan. As of the date the Amended 2018 Plan was approved by the Company’s shareholders, it provided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3" w:name="page14"/>
    <w:bookmarkEnd w:id="13"/>
    <w:p>
      <w:pPr>
        <w:ind w:right="540"/>
        <w:spacing w:after="0" w:line="282" w:lineRule="auto"/>
        <w:rPr>
          <w:sz w:val="20"/>
          <w:szCs w:val="20"/>
          <w:color w:val="auto"/>
        </w:rPr>
      </w:pPr>
      <w:r>
        <w:rPr>
          <w:rFonts w:ascii="Times New Roman" w:cs="Times New Roman" w:eastAsia="Times New Roman" w:hAnsi="Times New Roman"/>
          <w:sz w:val="18"/>
          <w:szCs w:val="18"/>
          <w:color w:val="auto"/>
        </w:rPr>
        <w:t>for a reserve of an additional 12,400,000 shares of common stock that may be issued pursuant to awards granted under the Amended 2018 Plan. The Company filed a Form S-8 registration statement related to the Amended 2018 Plan on May 7,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uses a Black-Scholes option valuation model to estimate the fair value of each time-based or performance-based option awarded. A summary of the activity of stock option awards issued and outstanding under Company plans was as follows for the six months ended June 30,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 w:type="dxa"/>
            <w:vAlign w:val="bottom"/>
          </w:tcPr>
          <w:p>
            <w:pPr>
              <w:spacing w:after="0"/>
              <w:rPr>
                <w:sz w:val="13"/>
                <w:szCs w:val="13"/>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January 1, 2025</w:t>
            </w:r>
          </w:p>
        </w:tc>
        <w:tc>
          <w:tcPr>
            <w:tcW w:w="19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1,632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16.64</w:t>
            </w: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19,520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granted</w:t>
            </w:r>
          </w:p>
        </w:tc>
        <w:tc>
          <w:tcPr>
            <w:tcW w:w="1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exercised</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forfeited/canceled/expired</w:t>
            </w:r>
          </w:p>
        </w:tc>
        <w:tc>
          <w:tcPr>
            <w:tcW w:w="6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June 30, 2025</w:t>
            </w:r>
          </w:p>
        </w:tc>
        <w:tc>
          <w:tcPr>
            <w:tcW w:w="6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1,574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18.14</w:t>
            </w:r>
          </w:p>
        </w:tc>
        <w:tc>
          <w:tcPr>
            <w:tcW w:w="122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11,549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at June 30, 2025</w:t>
            </w:r>
          </w:p>
        </w:tc>
        <w:tc>
          <w:tcPr>
            <w:tcW w:w="680" w:type="dxa"/>
            <w:vAlign w:val="bottom"/>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1,475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18.05</w:t>
            </w: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10,993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June 30, 2025</w:t>
            </w:r>
          </w:p>
        </w:tc>
        <w:tc>
          <w:tcPr>
            <w:tcW w:w="6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18.67</w:t>
            </w:r>
          </w:p>
        </w:tc>
        <w:tc>
          <w:tcPr>
            <w:tcW w:w="122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5,716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80" w:type="dxa"/>
            <w:vAlign w:val="bottom"/>
            <w:gridSpan w:val="2"/>
          </w:tcPr>
          <w:p>
            <w:pPr>
              <w:jc w:val="right"/>
              <w:ind w:right="113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-1224915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-933450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-916305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approximately 377,000 options to certain employees which had a grant date fair value of $13.95. For the three months ended June 30, 2025 and 2024, the amount of stock-based compensation expense related to stock options was $0.5 million and $0.2 million, respectively. For the six months ended June 30, 2025 and 2024, the amount of stock-based compensation expense related to stock options was $0.9 million and $0.4 million, respectively. As of June 30, 2025, the Company had $6.6 million of unrecognized compensation costs related to non-vested stock option awards that are expected to be recognized over a weighted average period of 3.3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Compensation expense for nonvested stock awards is recorded over the vesting period based on the fair value at the date of grant. Generally, the restricted stock awards vest in equal increments generally over either a three- or four-year period. The fair value of restricted stock awards, which do not contain a market-based vesting condition, is determined using the closing price of the Company's common stock on the date of grant. The Company has historically issued share-based awards with service-based, performance-based and market-based vesting criteria.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of restricted stock outstanding is as follows for the six months ended June 30, 2025:</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6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1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outstanding at January 1, 2025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outstanding at June 30, 2025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approximately 1,827,000 shares of restricted stock to certain employees and executive officers. Of these awards, 137,500 are market and performance-based awards which will be forfeited if the Company does not achieve certain annual metrics during 2025, 2026 and 2027.</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vesting of these performance-based restricted stock grants are subject to the achievement by GEO of two annual performance metrics as follows: (i) up to 50% of the shares of restricted stock ("TSR Target Award") can vest at the end of a three year performance period if GEO meets certain total shareholder return ("TSR") performance targets, as compared to the total shareholder return of a peer group of companies, over a three year period from January 1,</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2025 to December 31, 2027 and (ii) up to 50% of the shares of restricted stock ("ROCE Target Award") can vest at the end of a three year period if GEO meets certain return on capital employed ("ROCE") performance targets over a three year period from January 1, 2025 to December 31, 2027. These market and performance awards can vest at between 0% and 200% of the target awards for both metrics. The number of shares shown for the performance-based awards is based on the target awards for both metrics.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metric related to ROCE is considered to be a performance condition. For share-based awards that contain a performance condition, the achievement of the targets must be probable before any share-based compensation expense is recorded. The Company reviews the likelihood of which target in the range will be achieved and if deemed probable, compensation expense is recorded at that time. If subsequent to initial measurement there is a change in the estimate of the probability of meeting the performance condition, the effect of the change in the estimated quantity of awards expected to vest is recognized by cumulatively adjusting compensation expense. If ultimately the performance targets are not met, for any awards where vesting was previously deemed probable, previously recognized compensation expense will be reversed in the period in which vesting is no longer deemed probable. The fair value of these awards was determined based on the closing price of the Company's common stock on the date of grant.</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metric related to TSR is considered to be a market condition. For share-based awards that contain a market condition, the probability of satisfying the market condition must be considered in the estimate of grant-date fair value and previously recorded compensation expense is not reversed if the market condition is never met. The fair value of these awards was determined based on a Monte Carlo simulation, which calculates a range of possible outcomes and the probabilities that they will occur, using the following weighted average key assumptions: (i) volatility of 51.4%; (ii) beta of 1.12; and (iii) risk free rate of 3.90%.</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recognized $5.0 million and $2.9 million, respectively, of compensation expense related to its restricted stock awards. For the six months ended June 30, 2025 and 2024, the Company recognized $11.1 million and $8.8 million, respectively, of compensation expense related to its restricted stock awards. As of June 30, 2025, the Company had $33.1 million of unrecognized compensation costs related to non-vested restricted stock awards, including non-vested restricted stock awards with performance-based and market-based vesting, that are expected to be recognized over a weighted average period of 2.5 years.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previously adopted The GEO Group Inc. 2011 Employee Stock Purchase Plan (the “Plan" or "ESPP”) effective July 9, 2011. The Company has since amended and restated the Plan (the “Amended ESPP”) which was approved by the Company’s shareholders on April 28, 2021 and became effective on July 9, 2021. The purpose of the Amended ESPP, which is qualified under Section 423 of the Code, is to encourage stock ownership through payroll deductions by the employees of GEO and designated subsidiaries of GEO in order to increase their identification with the Company’s goals and secure a proprietary interest in the Company’s success. These deductions are used to purchase shares of the Company’s common stock at a 5% discount from the then current market price. The maximum number of shares of common stock reserved for issuance over the term of the Amended ESPP on the amended effective date shall not exceed 506,023 shares.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Amended ESPP is considered to be non-compensatory. As such, there is no compensation expense required to be recognized. Share purchases under the Amended ESPP are made on the last day of each month. During the six months ended June 30, 2025 and 2024, 3,239 and 6,162 shares, respectively, of the Company's common stock were issued in connection with the Amended ESPP.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the net income attributable to The GEO Group, Inc. by the weighted-average number of common shares outstanding for the period. Basic and diluted earnings (loss) per share were calculated for the three and six months ended June 30, 2025 and 2024 as follows (in thousands, except per share data):</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29,074</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48,616</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16"/>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The GEO Group, Inc.</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29,108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48,666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The GEO Group, Inc.</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138,539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130,518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137,844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125,631</w:t>
            </w:r>
          </w:p>
        </w:tc>
      </w:tr>
      <w:tr>
        <w:trPr>
          <w:trHeight w:val="20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amount</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(loss) per share attributable to The GEO Group, Inc.</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r>
      <w:tr>
        <w:trPr>
          <w:trHeight w:val="216"/>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138,539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137,844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125,631</w:t>
            </w:r>
          </w:p>
        </w:tc>
      </w:tr>
      <w:tr>
        <w:trPr>
          <w:trHeight w:val="216"/>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Dilutive effect of equity incentive plans</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140,470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130,518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140,710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125,631</w:t>
            </w:r>
          </w:p>
        </w:tc>
      </w:tr>
      <w:tr>
        <w:trPr>
          <w:trHeight w:val="230"/>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 share amount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0.21</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-1319530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-1319530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-1319530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-899160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-899160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-899160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-328930</wp:posOffset>
            </wp:positionV>
            <wp:extent cx="9398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-328930</wp:posOffset>
            </wp:positionV>
            <wp:extent cx="9398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-328930</wp:posOffset>
            </wp:positionV>
            <wp:extent cx="9398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557,387 weighted average shares of common stock underlying options were excluded from the computation of diluted earnings per share ("EPS") because the effect would be anti-dilutive. There were 68,750 common stock equivalents from restricted shares that were anti-dilutive for the period.</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as the Company experienced a net loss, no potential common shares were included in the computation of diluted loss per share as they would be antidilutive. There were 1,603,169 weighted average shares of common stock underlying options excluded from the computation of diluted EPS because the effect would be anti-dilutive. There were 1,930,248 common stock equivalents from restricted shares that were anti-dilutive for the period.</w:t>
      </w:r>
    </w:p>
    <w:p>
      <w:pPr>
        <w:spacing w:after="0" w:line="3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438,418 weighted average shares of common stock underlying options were excluded from the computation of diluted earnings per share ("EPS") because the effect would be anti-dilutive. There were 45,580 common stock equivalents from restricted shares that were anti-dilutive for the period.</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as the Company experienced a net loss, no potential common shares were included in the computation of diluted loss per share as they would be antidilutive. There were 1,587,479 weighted average shares of common stock underlying options excluded from the computation of diluted EPS because the effect would be anti-dilutive. There were 2,320,286 common stock equivalents from restricted shares that were anti-dilutive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primary objective in holding derivatives is to reduce the volatility of earnings and cash flows associated with changes in interest rates. The Company measures its derivative financial instruments at fair value.</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August of 2019, the Company entered into two interest rate swap agreements in the aggregate notional amount of $44.3 million to fix the interest rate on certain of its variable rate debt to 4.22%. The Company has designated these interest rate swaps as hedges against changes in the cash flows of two identical promissory notes (the "Notes") which are secured by loan agreements and mortgage and security agreements on certain real property and improvements. The Company has determined that the swaps have payment, expiration dates, and provisions that coincide with the terms of the Notes and are therefore considered to be effective cash flow hedges. Accordingly, the Company records the change in fair value of the interest rate swaps as accumulated other comprehensive income (loss), net of applicable taxes. Total unrealized loss recorded in other comprehensive income (loss), net of tax, related to these cash flow hedges was $0.3 million during the three months ended June 30, 2025. Total unrealized gain recorded in other comprehensive income (loss), net of tax, related to these cash flow hedges was $0.1 million during the three months ended June 30, 2024. Total unrealized loss recorded in other comprehensive income (loss), net of tax, related to these cash flow hedges was $1.0 million during the six months ended June 30, 2025. Total unrealized gain recorded in other comprehensive income (loss), net of tax, related to these cash flow hedges was $0.8 million during the six months ended June 30, 2024. The total fair value of the swap assets as of June 30, 2025 and December 31, 2024 was $3.6 million and $4.9 million, respectively, and is recorded as a component of Other Non-Current Assets within the accompanying consolidated balance sheets. There was no material ineffectiveness for the period presented. The Company does not expect to enter into any transactions during the next twelve months which would result in reclassification into earnings or losses associated with these swaps currently reported in accumulated other comprehensive income (loss). Refer to Note 10 - Debt for additional information.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as of June 30, 2025 and December 31, 2024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296,867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320,823</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Unamortized discount on term loan</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Unamortized debt issuance costs on term loan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Revolver</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110,000</w:t>
            </w: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Credit Agreement</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422,885</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8.625% Secured Notes due 2029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Due in 2029</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(12,039)</w:t>
            </w: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8.625% Secured Notes due 2029</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637,961</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10.250% Unsecured Notes due 2031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Due in 2031</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625,000</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10.25% Unsecured Notes due 2031</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614,131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613,478</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6.50% Exchangeable Senior Notes due 2026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Notes Due in 2026</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6.50% Exchangeable Senior Notes due 2026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 net of unamortized debt issuance costs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37,441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38,048</w:t>
            </w:r>
          </w:p>
        </w:tc>
      </w:tr>
      <w:tr>
        <w:trPr>
          <w:trHeight w:val="209"/>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1,696,176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1,713,028</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 and long-term debt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long-term portion</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1,475,375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1,711,197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-2545080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-1988185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-1430655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-1010920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-590550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Offering and Credit Agreement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7" w:name="page18"/>
    <w:bookmarkEnd w:id="17"/>
    <w:p>
      <w:pPr>
        <w:ind w:right="80"/>
        <w:spacing w:after="0" w:line="256" w:lineRule="auto"/>
        <w:rPr>
          <w:sz w:val="20"/>
          <w:szCs w:val="20"/>
          <w:color w:val="auto"/>
        </w:rPr>
      </w:pPr>
      <w:r>
        <w:rPr>
          <w:rFonts w:ascii="Times New Roman" w:cs="Times New Roman" w:eastAsia="Times New Roman" w:hAnsi="Times New Roman"/>
          <w:sz w:val="18"/>
          <w:szCs w:val="18"/>
          <w:color w:val="auto"/>
        </w:rPr>
        <w:t>On April 18, 2024, the Company announced the closing of its private offering of $1.275 billion aggregate principal amount of senior notes, comprised of $650.0 million aggregate principal amount of 8.625% senior secured notes due 2029 (the "Secured Notes"), issued under the Indenture, dated as of April 18, 2024 (the "2029 Indenture") and $625.0 million aggregate principal amount of 10.250% senior notes due 2031 (the "Unsecured Notes" and, together with the Secured Notes, the "Notes"), issued under the Indenture, dated as of April 18, 2024 (the "2031 Indenture" and, together with the 2029 Indenture, the "Indentures"). The Notes are guaranteed (the "Secured Note Guarantees" and the "Unsecured Note Guarantees," respectively, and collectively, the "Guarantees" by GEO's domestic subsidiaries that are guarantors under the senior secured credit facility and outstanding senior notes (the "Guarantors")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entered into a credit agreement, dated April 18, 2024 (the "Credit Agreement") to, among other things, evidence and govern a first-lien senior secured revolving credit facility and the commitments thereunder, and a first-lien senior secured term loan facility. As of June 30, 2025, the aggregate principal amount of revolving credit commitments under the senior revolving credit facility was $310 million (including a $175 million letter of credit subfacility) and the aggregate principal amount of the senior secured term loan facility was $450.0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and conditions of the 2029 Indenture and the Secured Notes are as follows;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The Secured Notes mature on April 15, 2029.</w:t>
      </w:r>
    </w:p>
    <w:p>
      <w:pPr>
        <w:spacing w:after="0" w:line="225"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Secured Notes accrue interest at a rate of 8.625% per year. Interest on the Secured Notes is payable semi-annually on each April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October 15, commencing October 15, 2024.</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The Secured Notes were issued at par.</w:t>
      </w:r>
    </w:p>
    <w:p>
      <w:pPr>
        <w:spacing w:after="0" w:line="225" w:lineRule="exact"/>
        <w:rPr>
          <w:sz w:val="20"/>
          <w:szCs w:val="20"/>
          <w:color w:val="auto"/>
        </w:rPr>
      </w:pPr>
    </w:p>
    <w:p>
      <w:pPr>
        <w:ind w:left="4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The Secured Notes are fully and unconditionally guaranteed by each of the Initial Guarantors (as defined in the 2029 Indenture)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be guaranteed by additional </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ubsidiaries of the Company when a subsidiary guarantees debt under the credit facilities (other than debt securities) and debt securities in an aggregate principal amount of at least $100.0 million.</w:t>
      </w:r>
    </w:p>
    <w:p>
      <w:pPr>
        <w:spacing w:after="0" w:line="171" w:lineRule="exact"/>
        <w:rPr>
          <w:sz w:val="20"/>
          <w:szCs w:val="20"/>
          <w:color w:val="auto"/>
        </w:rPr>
      </w:pPr>
    </w:p>
    <w:p>
      <w:pPr>
        <w:ind w:left="460" w:right="2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Ranking</w:t>
      </w:r>
      <w:r>
        <w:rPr>
          <w:rFonts w:ascii="Times New Roman" w:cs="Times New Roman" w:eastAsia="Times New Roman" w:hAnsi="Times New Roman"/>
          <w:sz w:val="18"/>
          <w:szCs w:val="18"/>
          <w:color w:val="auto"/>
        </w:rPr>
        <w:t>. The Secured Notes and the Secured Note Guarantees are GEO and the Guarantors’ respective senior, secured obligations,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indebtedness evidenced by the Secured Notes and the Secured Note Guarantees will rank equal in right of payment to all of GEO’s and the Guarantors’ other existing and future senior obligations, including the indebtedness under the Credit Agreement and the guarantees thereof; effectively senior in right of payment to all of GEO’s and the Guarantors’ existing and future unsecured indebtedness, including the Unsecured Notes, and the guarantees thereof, to the extent of the value of the Collateral (as defined below); senior in right of payment to any of GEO’s and the Guarantors’ future subordinated indebtedness; effectively junior in right of payment to any of GEO’s and the Guarantors’ future secured indebtedness that is secured by a lien on any assets not constituting Collateral, to the extent of the value of such assets; and structurally subordinated to all existing and future indebtedness and other liabilities of Subsidiaries that do not guarantee the Secured Notes and joint ventures, including trade payables.</w:t>
      </w:r>
    </w:p>
    <w:p>
      <w:pPr>
        <w:spacing w:after="0" w:line="188" w:lineRule="exact"/>
        <w:rPr>
          <w:sz w:val="20"/>
          <w:szCs w:val="20"/>
          <w:color w:val="auto"/>
        </w:rPr>
      </w:pPr>
    </w:p>
    <w:p>
      <w:pPr>
        <w:ind w:left="460" w:right="320" w:firstLine="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The Secured Notes and the Secured Note Guarantees are secured on a first-priority basis by the same collateral (the “Collateral”)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secures the obligations under the Credit Agreement in accordance with the terms of the 2029 Indenture and security agreements relating to the Collateral and instruments filed and recorded in appropriate jurisdictions to preserve and protect the liens on the Collateral (including, without limitation, mortgages, deeds of trust or deed to secure debt and financing statements under the Uniform Commercial Code of the relevant states applicable to the Collateral), each for the benefit of the Trustee, Collateral Agent and the holders of the Secured Notes.</w:t>
      </w:r>
    </w:p>
    <w:p>
      <w:pPr>
        <w:spacing w:after="0" w:line="179" w:lineRule="exact"/>
        <w:rPr>
          <w:sz w:val="20"/>
          <w:szCs w:val="20"/>
          <w:color w:val="auto"/>
        </w:rPr>
      </w:pPr>
    </w:p>
    <w:p>
      <w:pPr>
        <w:ind w:left="4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Mandatory Redemption</w:t>
      </w:r>
      <w:r>
        <w:rPr>
          <w:rFonts w:ascii="Times New Roman" w:cs="Times New Roman" w:eastAsia="Times New Roman" w:hAnsi="Times New Roman"/>
          <w:sz w:val="18"/>
          <w:szCs w:val="18"/>
          <w:color w:val="auto"/>
        </w:rPr>
        <w:t>. The Company is not required to make mandatory redemption or sinking fund payments with respect to the 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w:t>
      </w:r>
    </w:p>
    <w:p>
      <w:pPr>
        <w:spacing w:after="0" w:line="155" w:lineRule="exact"/>
        <w:rPr>
          <w:sz w:val="20"/>
          <w:szCs w:val="20"/>
          <w:color w:val="auto"/>
        </w:rPr>
      </w:pPr>
    </w:p>
    <w:p>
      <w:pPr>
        <w:ind w:left="460" w:right="2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On or after April 15, 2026, the Company may redeem all or a part of the Secured Notes (which includes Additional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2029 Indenture), if any), upon not less than 10 nor more than 60 days’ notice, at the fixed redemption prices expressed as percentages of the principal amount set forth in the 2029 Indenture, plus accrued and unpaid interest, if any, on the Secured Notes redeemed, to, but excluding, the applicable redemption date, subject to the rights of holders of Secured Notes on the relevant record date to receive interest due on the relevant interest payment date if the Secured Notes have not been redeemed prior to such date. In addition, the Company may redeem up to 35% of the aggregate principal amount of the Secured Notes at any time and from time to time before April 15, 2026, with an amount up to the net proceeds of certain equity offerings at a redemption price of 108.625% of the principal amount plus accrued and unpaid interest, if any, to, but excluding, the redemption date provided, that (1) at least 65% of the aggregate principal amount of Secured Notes remains outstanding immediately after the occurrence of that redemption and (2) the redemption occurs within 90 days of the date of the closing of the equity offering. The Company may also redeem the Secured Notes, in whole or in part, at any time and from time to time before April 15, 2026, at a redemption price equal to 100% of the</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8" w:name="page19"/>
    <w:bookmarkEnd w:id="18"/>
    <w:p>
      <w:pPr>
        <w:ind w:left="460" w:right="320"/>
        <w:spacing w:after="0" w:line="254" w:lineRule="auto"/>
        <w:rPr>
          <w:sz w:val="20"/>
          <w:szCs w:val="20"/>
          <w:color w:val="auto"/>
        </w:rPr>
      </w:pPr>
      <w:r>
        <w:rPr>
          <w:rFonts w:ascii="Times New Roman" w:cs="Times New Roman" w:eastAsia="Times New Roman" w:hAnsi="Times New Roman"/>
          <w:sz w:val="18"/>
          <w:szCs w:val="18"/>
          <w:color w:val="auto"/>
        </w:rPr>
        <w:t>principal amount of the Secured Notes (which includes Additional Notes, if any), plus the Applicable Premium (as defined in the 2029 Indenture) as of the applicable redemption date, plus accrued and unpaid interest, if any, to, but excluding, the redemption date, subject to the rights of holders of Secured Notes on the relevant record date to receive interest due on the relevant interest payment date if the Secured Notes have not been redeemed prior to such date. Additionally, during any twelve-month period prior to April 15, 2026, the Company shall be entitled at its option on one or more occasions to redeem the Secured Notes (which includes Additional Notes, if any) in an aggregate principal amount not to exceed 10% of the aggregate principal amount of the outstanding Secured Notes (which includes Additional Notes, if any) at a redemption price (calculated by the Company and expressed as a percentage of principal amount) of 103.000%, plus accrued and unpaid interest, if any, to, but excluding, the redemption date.</w:t>
      </w:r>
    </w:p>
    <w:p>
      <w:pPr>
        <w:spacing w:after="0" w:line="188" w:lineRule="exact"/>
        <w:rPr>
          <w:sz w:val="20"/>
          <w:szCs w:val="20"/>
          <w:color w:val="auto"/>
        </w:rPr>
      </w:pPr>
    </w:p>
    <w:p>
      <w:pPr>
        <w:jc w:val="both"/>
        <w:ind w:left="460"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If a Change of Control (as defined in the 2029 Indenture) occurs, the Company will offer a payment in cash equal to 101%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aggregate principal amount of Secured Notes repurchased, plus accrued and unpaid interest, if any, on the Secured Notes repurchased, to (but not including) the date of purchase, subject to the right of holders on the relevant record date to receive interest due on the relevant interest payment date if the Secured Notes have not been redeemed or repurchased prior to such date.</w:t>
      </w:r>
    </w:p>
    <w:p>
      <w:pPr>
        <w:spacing w:after="0" w:line="176" w:lineRule="exact"/>
        <w:rPr>
          <w:sz w:val="20"/>
          <w:szCs w:val="20"/>
          <w:color w:val="auto"/>
        </w:rPr>
      </w:pPr>
    </w:p>
    <w:p>
      <w:pPr>
        <w:ind w:left="460" w:right="3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Covenants</w:t>
      </w:r>
      <w:r>
        <w:rPr>
          <w:rFonts w:ascii="Times New Roman" w:cs="Times New Roman" w:eastAsia="Times New Roman" w:hAnsi="Times New Roman"/>
          <w:sz w:val="18"/>
          <w:szCs w:val="18"/>
          <w:color w:val="auto"/>
        </w:rPr>
        <w:t>. The 2029 Indenture contains certain covenants that will limit, among other things, the Company’s and its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(as defined in the 2029 Indenture) ability to: incur additional indebtedness (including guarantees thereof); incur or create liens, other than Permitted Liens (as defined in the 2029 Indenture); make certain Restricted Payments (as defined in the 2029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2029 Indenture); engage in certain transactions with affiliates; and engage in any business other than Permitted Businesses (as defined in the 2029 Indenture). These covenants are subject to a number of important limitations and exceptions.</w:t>
      </w:r>
    </w:p>
    <w:p>
      <w:pPr>
        <w:spacing w:after="0" w:line="183" w:lineRule="exact"/>
        <w:rPr>
          <w:sz w:val="20"/>
          <w:szCs w:val="20"/>
          <w:color w:val="auto"/>
        </w:rPr>
      </w:pPr>
    </w:p>
    <w:p>
      <w:pPr>
        <w:ind w:left="4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The 2029 Indenture contains customary events of default which could, subject to certain conditions, cause the Secured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become immediately due and payable.</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Secured Notes are also subject to the terms of the First Lien Intercreditor Agreement (the “First Lien Intercreditor Agreement”), dated April 18, 2024, among GEO, GEOCH, the other grantors from time to time party thereto, Citizens Bank, N.A., as Credit Agreement Collateral Agent and Authorized Representative for the Credit Agreement Secured Parties, and Ankura Trust Company, LLC as Initial Additional Collateral Agent and Initial Additional Authorized Representative. The First Lien Intercreditor Agreement sets forth the relative rights and obligations of the holders of First Lien Secured Obligations (which means (i) all obligations as defined in the Credit Agreement, (ii) all obligations under the Secured Notes, the 2029 Indenture, the Secured Note Guarantees and the Security Documents (as defined in the 2029 Indenture), and (iii) any other indebtedness secured on a first lien pari passu basis with such obligations), in each case, with respect to shared Collateral.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and conditions of the 2031 Indenture and the Unsecured Notes are as follows: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Maturity</w:t>
      </w:r>
      <w:r>
        <w:rPr>
          <w:rFonts w:ascii="Times New Roman" w:cs="Times New Roman" w:eastAsia="Times New Roman" w:hAnsi="Times New Roman"/>
          <w:sz w:val="18"/>
          <w:szCs w:val="18"/>
          <w:color w:val="auto"/>
        </w:rPr>
        <w:t>. The Unsecured Notes mature on April 15, 2031.</w:t>
      </w:r>
    </w:p>
    <w:p>
      <w:pPr>
        <w:spacing w:after="0" w:line="203" w:lineRule="exact"/>
        <w:rPr>
          <w:sz w:val="20"/>
          <w:szCs w:val="20"/>
          <w:color w:val="auto"/>
        </w:rPr>
      </w:pPr>
    </w:p>
    <w:p>
      <w:pPr>
        <w:ind w:left="4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Unsecured Notes accrue interest at a rate of 10.250% per year. Interest on the Unsecured Notes is payable semi-annually on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15 and October 15, commencing October 15, 2024.</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 Price</w:t>
      </w:r>
      <w:r>
        <w:rPr>
          <w:rFonts w:ascii="Times New Roman" w:cs="Times New Roman" w:eastAsia="Times New Roman" w:hAnsi="Times New Roman"/>
          <w:sz w:val="18"/>
          <w:szCs w:val="18"/>
          <w:color w:val="auto"/>
        </w:rPr>
        <w:t>. The Unsecured Notes were issued at par.</w:t>
      </w:r>
    </w:p>
    <w:p>
      <w:pPr>
        <w:spacing w:after="0" w:line="225" w:lineRule="exact"/>
        <w:rPr>
          <w:sz w:val="20"/>
          <w:szCs w:val="20"/>
          <w:color w:val="auto"/>
        </w:rPr>
      </w:pPr>
    </w:p>
    <w:p>
      <w:pPr>
        <w:ind w:left="4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 The Unsecured Notes are fully and unconditionally guaranteed by each of the Initial Guarantors (as defined in the 2031 Indenture)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be guaranteed by additional </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ubsidiaries of the Company when a subsidiary guarantees debt under the credit facilities (other than debt securities) and debt securities in an aggregate principal amount of at least $100.0 million.</w:t>
      </w:r>
    </w:p>
    <w:p>
      <w:pPr>
        <w:spacing w:after="0" w:line="171"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Mandatory Redemption</w:t>
      </w:r>
      <w:r>
        <w:rPr>
          <w:rFonts w:ascii="Times New Roman" w:cs="Times New Roman" w:eastAsia="Times New Roman" w:hAnsi="Times New Roman"/>
          <w:sz w:val="18"/>
          <w:szCs w:val="18"/>
          <w:color w:val="auto"/>
        </w:rPr>
        <w:t>. The Company is not required to make mandatory redemption or sinking fund payments with respect to the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w:t>
      </w:r>
    </w:p>
    <w:p>
      <w:pPr>
        <w:spacing w:after="0" w:line="155"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Optional Redemption</w:t>
      </w:r>
      <w:r>
        <w:rPr>
          <w:rFonts w:ascii="Times New Roman" w:cs="Times New Roman" w:eastAsia="Times New Roman" w:hAnsi="Times New Roman"/>
          <w:sz w:val="18"/>
          <w:szCs w:val="18"/>
          <w:color w:val="auto"/>
        </w:rPr>
        <w:t>. On or after April 15, 2027, the Company may redeem all or a part of the Unsecured Notes (which includes Additional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2031 Indenture), if any), upon not less than 10 nor more than 60 days’ notice, at the fixed redemption prices expressed as percentages of the principal amount set forth in the 2031 Indenture, plus accrued and unpaid interest, if any, on the Unsecured Notes redeemed, to, but excluding, the applicable redemption date, subject to the rights of holders of Unsecured Notes on the relevant record date to receive interest due on the relevant interest payment date if the Unsecured Notes have not been redeemed prior to such date. In addition, the Company may redeem up to 35% of the aggregate principal amount of the Unsecured Notes at any time and from time to time before April 15, 2027, with an amount up to the net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left="460" w:right="140"/>
        <w:spacing w:after="0" w:line="254" w:lineRule="auto"/>
        <w:rPr>
          <w:sz w:val="20"/>
          <w:szCs w:val="20"/>
          <w:color w:val="auto"/>
        </w:rPr>
      </w:pPr>
      <w:r>
        <w:rPr>
          <w:rFonts w:ascii="Times New Roman" w:cs="Times New Roman" w:eastAsia="Times New Roman" w:hAnsi="Times New Roman"/>
          <w:sz w:val="18"/>
          <w:szCs w:val="18"/>
          <w:color w:val="auto"/>
        </w:rPr>
        <w:t>proceeds of certain equity offerings at a redemption price of 110.250% of the principal amount plus accrued and unpaid interest, if any, to, but excluding, the redemption date provided, that (1) at least 65% of the aggregate principal amount of Unsecured Notes remains outstanding immediately after the occurrence of that redemption and (2) the redemption occurs within 90 days of the date of the closing of the equity offering. The Company may also redeem the Unsecured Notes, in whole or in part, at any time and from time to time before April 15, 2027, at a redemption price equal to 100% of the principal amount of the Unsecured Notes (which includes Additional Notes, if any), plus the Applicable Premium (as defined in the 2031 Indenture) as of the applicable redemption date, plus accrued and unpaid interest, if any, to, but excluding, the redemption date, subject to the rights of holders of Unsecured Notes on the relevant record date to receive interest due on the relevant interest payment date if the Unsecured Notes have not been redeemed prior to such date.</w:t>
      </w:r>
    </w:p>
    <w:p>
      <w:pPr>
        <w:spacing w:after="0" w:line="188" w:lineRule="exact"/>
        <w:rPr>
          <w:sz w:val="20"/>
          <w:szCs w:val="20"/>
          <w:color w:val="auto"/>
        </w:rPr>
      </w:pPr>
    </w:p>
    <w:p>
      <w:pPr>
        <w:ind w:left="460"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If a Change of Control (as defined in the 2031 Indenture) occurs, the Company will offer a payment in cash equal to 101%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aggregate principal amount of Unsecured Notes repurchased, plus accrued and unpaid interest, if any, on the Unsecured Notes repurchased, to (but not including) the date of purchase, subject to the right of holders on the relevant record date to receive interest due on the relevant interest payment date if the Unsecured Notes have not been redeemed or repurchased prior to such date.</w:t>
      </w:r>
    </w:p>
    <w:p>
      <w:pPr>
        <w:spacing w:after="0" w:line="176"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Certain Covenants</w:t>
      </w:r>
      <w:r>
        <w:rPr>
          <w:rFonts w:ascii="Times New Roman" w:cs="Times New Roman" w:eastAsia="Times New Roman" w:hAnsi="Times New Roman"/>
          <w:sz w:val="18"/>
          <w:szCs w:val="18"/>
          <w:color w:val="auto"/>
        </w:rPr>
        <w:t>. The 2031 Indenture contains certain covenants that will limit, among other things, the Company’s and its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(as defined in the 2031 Indenture) ability to: incur additional indebtedness (including guarantees thereof); incur or create liens, other than Permitted Liens (as defined in the 2031 Indenture); make certain Restricted Payments (as defined in the 2031 Indenture); make certain investments; dispose of certain assets; allow to exist certain restrictions on the ability of the Company’s Restricted Subsidiaries to pay any dividend or make any other payment or distribution on account of the Company’s or any Restricted Subsidiary’s Equity Interests (as defined in the 2031 Indenture); engage in certain transactions with affiliates; and engage in any business other than Permitted Businesses (as defined in the 2031 Indenture). These covenants are subject to a number of important limitations and exceptions.</w:t>
      </w:r>
    </w:p>
    <w:p>
      <w:pPr>
        <w:spacing w:after="0" w:line="183"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The 2031 Indenture contains customary events of default which could, subject to certain conditions, cause the Unsecured Notes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immediately due and payable.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GEO and GEOCH, as borrowers (collectively, the “Credit Facility Borrowers”), entered into a Credit Agreement, dated April 18, 2024 (the “Credit Agreement”) to, among other things, evidence and govern a first-lien senior secured revolving credit facility (the “Revolving Credit Facility”; and the commitments thereunder, the “Revolving Credit Facility Commitments”) and a first-lien senior secured term loan facility (the “Term Loan Facility” and, together with the Revolving Credit Facility, the “Credit Facility”). As of June 30, 2025, the aggregate principal amount of revolving credit commitments under the Revolving Credit Facility was $310 million (including a $175 million letter of credit subfacility) and the aggregate principal amount of the New Term Loan Facility was $450.0 million.</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loans under the Revolving Credit Facility (the “Revolving Credit Loans”) bear interest at a per annum rate equal to either (i) Alternate Base Rate (as defined below) plus an applicable margin or (ii) Term SOFR (as defined below) (subject to a 0.75% floor) plus an applicable margin, which applicable margin shall, in either case, vary depending on GEO’s total leverage ratio as of the most recent determination date, and the Credit Facility Borrowers will pay a fee in respect of the unused revolving commitments under the Revolving Credit Facility at a per annum rate ranging from 0.25% to 0.50%, in each case depending on GEO’s total leverage ratio as of the most recent determination date, where “Alternate Base Rate” means, for any day, a rate per annum equal to the greatest of (a) the Prime Rate in effect on such day, (b) the Federal Funds Rate for such day plus 1/2 of 1% and (c) Term SOFR (as defined below) for a one-month tenor in effect on such day, plus 1%, and “Term SOFR” means the Term Secured Overnight Financing Rate. The loans under the Term Loan Facility (the “Term Loans”) bear interest at a per annum rate equal to either (i) Alternate Base Rate plus an applicable margin for Alternate Base Rate Loans and (ii) Term SOFR (subject to a 0.75% floor) plus an applicable margin for Term SOFR Loans.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Term Loans amortize at a rate equal to 1.25% of the original principal amount of such Term Loans per quarter. Mandatory prepayments of loans under the Credit Agreement are required in respect of certain casualty and asset sale proceeds and excess cash flow, subject to certain thresholds and exceptions. Voluntary prepayments of the Revolving Credit Loans may be made by the Credit Facility Borrowers at any time without premium or penalty (subject to reimbursement for customary breakage expenses). Voluntary prepayments of the Term Loans and any prepayments of Term Loans required in connection with any acceleration of the maturity thereof (or in connection with a foreclosure or other disposition of or realization upon any Collateral or other satisfaction or compromise of any obligations thereunder in any insolvency or other similar proceeding) will require payment of a premium equal to (i)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of the principal amount prepaid or required to be prepaid if made prior to the first anniversary of the effective date of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Term Loan Facility and (ii) 1.00% of the principal amount prepaid or required to be prepaid if made on or after the first anniversary of the effective date of the Term Loan Facility but prior to the second anniversary of the effective date of the Term Loan Facility.</w:t>
      </w:r>
    </w:p>
    <w:p>
      <w:pPr>
        <w:spacing w:after="0" w:line="16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The Revolving Credit Facility Commitments under the Revolving Credit Facility were scheduled to terminate, and the Revolving Credit Loans were scheduled to mature, on the earliest of (i) April 15, 2029, (ii) in the event that any Term Loans remain outstanding on the date that is ninety-one days prior to the Term Loan Maturity Date (as defined below), the date that is ninety-one days prior to the Term Loan Maturity Date, (iii) in the event that an aggregate principal amount equal to or greater than $100,000,000 of any Senior Notes remains outstanding on the Senior Notes Springing Maturity Date (as defined below), such Senior Notes Springing Maturity Date, it being understood that Senior Notes shall not be considered to be outstanding for purposes of this clause (iii) to the extent GEO, shall have deposited or caused to be deposited funds into a customary irrevocable escrow in an amount sufficient to pay or redeem such Senior Notes in full on the maturity date thereof (the “Maturity Reserve Condition”), where “Senior Notes” refers to each of the Secured Notes and the Unsecured Notes and any other senior notes issued by GEO or any of its subsidiaries and “Senior Notes Springing Maturity Date” means the date that is ninety-one days prior to the stated maturity date of the applicable Senior Notes. The Term Loans will mature on the earliest of</w:t>
      </w:r>
    </w:p>
    <w:p>
      <w:pPr>
        <w:spacing w:after="0" w:line="5" w:lineRule="exact"/>
        <w:rPr>
          <w:sz w:val="20"/>
          <w:szCs w:val="20"/>
          <w:color w:val="auto"/>
        </w:rPr>
      </w:pPr>
    </w:p>
    <w:p>
      <w:pPr>
        <w:ind w:right="160" w:firstLine="8"/>
        <w:spacing w:after="0" w:line="255"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15, 2029 and (ii) in the event that an aggregate principal amount equal to or greater than $100,000,000 of any series or class of Senior Notes remains outstanding on the Senior Notes Springing Maturity Date, such Senior Notes Springing Maturity Date, unless the Maturity Reserve Condition is satisfied with respect to such Senior Notes (such earliest date, the “Term Loan Maturity Date”).</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affirmative covenants and negative covenants, including restrictions on the ability of GEO and its restricted subsidiaries to, among other things, (i) create, incur or assume any indebtedness, (ii) create, incur, assume or permit liens, (iii) make loans and investments, (iv) engage in mergers, acquisitions and asset sales, (v) make certain restricted payments, (vi) engage in transactions with affiliates, (vii) cancel, forgive, make any voluntary or optional payment or prepayment on, or redeem or acquire for value any subordinated indebtedness, except as permitted under applicable subordination terms, (viii) engage in other businesses, except as permitted, and (ix) materially impair the security interests securing the obligations under the Credit Agreement. The Credit Agreement also contains certain financial covenants, including a maximum total leverage ratio covenant, a maximum first lien leverage ratio covenant and a minimum interest coverage ratio covenant. In addition, the Credit Agreement restricts GEO from electing to be taxed as a real estate investment trust under the Internal Revenue Code. The Credit Agreement also contains certain customary events of default.</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Facility guarantors will guarantee the obligations in respect of the commitments and loans under the Credit Agreement. The obligations of the Credit Facility Borrowers and the Credit Facility guarantors in respect of the Credit Agreement will be secured by first-priority liens on substantially all of their assets, including real property interests with respect to which the Credit Agreement requires the execution and delivery of a mortgage. The rights of the holders of the Secured Notes in the Collateral (including the right to exercise remedies) is subject to the First Lien Intercreditor Agreement.</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$115.0 million in borrowings under its revolver, and approximately $47.5 million in letters of credit which left approximately $147.5 million in additional borrowing capacity under the revolver. The weighted average interest rate on outstanding borrowings under the Credit Agreement as of June 30, 2025 was 9.01%.</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14, 2025 the Company amended its Credit Agreement dated as of April 18, 2024 which increased the Company's revolving credit commitments from $310 million to $450 million and extended the Revolver’s maturity to July 14, 2030. The amendment also lowered the applicable interest rates based on the total leverage ratio for loans using the Alternate Base Rate and loans using the Secured Overnight Financing Rate (“SOFR”) by 0.50%. Refer to Note 15 - Subsequent Events for further information.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6.50% Exchangeable Senior Notes due 2026</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February 24, 2021, the Company’s wholly owned subsidiary, GEOCH, completed a private offering of $230 million aggregate principal amount of 6.50% Exchangeable Senior Notes due 2026 (the "Convertible Notes"). The Convertible Notes were to mature on February 23, 2026, unless earlier repurchased or exchanged. The Convertible Notes bore interest at the rate of 6.50% per year plus an additional amount based on the dividends paid by the Company on its common stock, $0.01 par value per share. Interest on the Convertible Notes was payable semi-annually in arrears on March 1 and September 1 of each year, beginning on September 1, 2021.</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certain restrictions on share ownership and transfer, holders could have exchanged the Convertible Notes at their option prior to the close of business on the business day immediately preceding November 25, 2025, but only under the following circumstances: (1) during the five consecutive business day period after any five consecutive trading day period, or the measurement period, in which the trading price per $1,000 principal amount of Convertible Notes for each trading day of such measurement period was less than 98% of the product of the last reported sale price of the Company’s common stock and the exchange rate for the Convertible Notes on each such trading day; or (2) upon the occurrence of certain specified corporate events. On or after November</w:t>
      </w: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21" w:name="page22"/>
    <w:bookmarkEnd w:id="2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25, 2025, until the close of business on the second scheduled trading day immediately preceding the maturity date of the Convertible Notes, holders could have exchanged their Convertible Notes at any time, regardless of the foregoing circumstances. Upon exchange of a Convertible Note, GEO was to pay or deliver, as the case may be, cash or a combination of cash and shares of the Company’s common stock.</w:t>
      </w:r>
    </w:p>
    <w:p>
      <w:pPr>
        <w:spacing w:after="0" w:line="10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Upon conversion, the Company was to pay or deliver, as the case may be, cash or a combination of cash and shares of common stock. The initial conversion rate was 108.4011 shares of common stock per $1,000 principal amount of Convertible Notes (equivalent to an initial conversion price of approximately $9.225 per share of common stock). The conversion rate would have been subject to adjustment in certain events. If the Company or GEOCH had undergone a fundamental change, holders could have required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2024, the Company retired $229.9 million in aggregate principal amount of its outstanding 6.50% Exchangeable Senior Notes as a result of private exchange transactions with an exchange value of approximately $410 million. The consideration consisted of cash of $229.9 million, using a combination of the net proceeds from the Senior Notes Offering and cash on hand, and approximately 12.4 million shares of GEO common stock. Of the total amount of shares issued, the Company issued approximately 4.2 million shares that were in treasury. During the first quarter of 2025, the Company retired the remaining outstanding balance.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of 2019, the Company entered into two identical notes in the aggregate amount of $44.3 million which are secured by loan agreements and mortgage and security agreements on certain real property and improvements. The terms of the notes are through September 1, 2034 and bear interest at LIBOR plus 200 basis points and are payable in monthly installments plus interest. The Company has entered into interest rate swap agreements to fix the interest rate to 4.22%. Included in the balance at June 30, 2025 is $0.5 million of deferred loan costs incurred in the transaction. Refer to Note 9 - Derivative Financial Instruments for further information.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debt covenants at June 30,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entered into a guarantee in the form of a letter of credit in connection with the operating performance of a facility in Australia. The obligation amounted to approximately AUD53.1 million, or $34.8 million, based on exchange rates as of June 30, 2025.</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2025, the Company also had four other letters of credit outstanding under separate international facilities relating to performance guarantees of its Australian subsidiary totaling AUD11.3 million, or $7.4 million, based on exchange rates as of June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discussed above, the Company does not have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CONTINGENCIES AND 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Assessments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Immigration Detainee Litigation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right="280"/>
        <w:spacing w:after="0" w:line="256" w:lineRule="auto"/>
        <w:rPr>
          <w:sz w:val="20"/>
          <w:szCs w:val="20"/>
          <w:color w:val="auto"/>
        </w:rPr>
      </w:pPr>
      <w:r>
        <w:rPr>
          <w:rFonts w:ascii="Times New Roman" w:cs="Times New Roman" w:eastAsia="Times New Roman" w:hAnsi="Times New Roman"/>
          <w:sz w:val="18"/>
          <w:szCs w:val="18"/>
          <w:color w:val="auto"/>
        </w:rPr>
        <w:t>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All trial dates remain stayed.</w:t>
      </w:r>
    </w:p>
    <w:p>
      <w:pPr>
        <w:spacing w:after="0" w:line="200" w:lineRule="exact"/>
        <w:rPr>
          <w:sz w:val="20"/>
          <w:szCs w:val="20"/>
          <w:color w:val="auto"/>
        </w:rPr>
      </w:pPr>
    </w:p>
    <w:p>
      <w:pPr>
        <w:spacing w:after="0" w:line="2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issued an Opinion by a 2-1 vote affirming the lower court’s decision. That Opinion includes a 24-page dissenting opinion. 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 detainees likewise impermissibly discriminates against the federal government in violation of intergovernmental-immunity principles. A final mandate has not been issued by the Ninth Circuit and the appeal remains pending until resolution of the Petition for Rehearing.</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auto"/>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Challenges to State Legislation that Conflict with Federal Contracts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w:t>
      </w:r>
    </w:p>
    <w:p>
      <w:pPr>
        <w:spacing w:after="0" w:line="20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Litigation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also exposes it to various other legal claims or litigation, including, but not limited to, civil rights claims relating to conditions of confinement and/or mistreatment, sexual misconduct claims brought by individuals in its care, 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Assessment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4" w:name="page25"/>
    <w:bookmarkEnd w:id="24"/>
    <w:p>
      <w:pPr>
        <w:ind w:right="20"/>
        <w:spacing w:after="0" w:line="254" w:lineRule="auto"/>
        <w:rPr>
          <w:sz w:val="20"/>
          <w:szCs w:val="20"/>
          <w:color w:val="auto"/>
        </w:rPr>
      </w:pPr>
      <w:r>
        <w:rPr>
          <w:rFonts w:ascii="Times New Roman" w:cs="Times New Roman" w:eastAsia="Times New Roman" w:hAnsi="Times New Roman"/>
          <w:sz w:val="18"/>
          <w:szCs w:val="18"/>
          <w:color w:val="auto"/>
        </w:rPr>
        <w:t>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Accruals for Legal Proceedings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currently has contractual commitments for a number of projects using Company financing. The Company’s management estimates that the cost of these existing active capital projects will be approximately $54.1 million of which $35.9 million was spent through the first six months of 2025. The Company estimates the remaining capital requirements related to these capital projects will be $18.2 million which will be spent through the remainder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tax benefit from an uncertain tax position may be recognized when it is more likely than not that the position will be sustained upon examination, including resolution of any related appeals or litigation, based on the technical merits of the position. As of June 30, 2025, the Company had a total of approximately $42.6 million of unrecognized tax benefits for uncertain tax positions. Approximately $38.9 million of this total was generated in the second quarter of 2024, and relates to interest deduction for GEO shares issued to the holders of our 6.5% Exchangeable Senior Notes due 2026. There was not a significant increase during the second quarter of 2025. Approximately all of the unrecognized tax benefits, if recognized, would impact our effective tax rate. The Company does not believe it has any existing tax positions for which it is reasonably possible that it will be required to record significant amounts of unrecognized tax benefits within the next twelve months.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Idle Facilities</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of June 30, 2025, the Company was marketing (or awaiting activation of) nine idle facilities to potential customers. One of the facilities, Cheyenne Mountain Recovery Center, is under a contract which has yet to be activated. The carrying values of these idle facilities are included in Property and Equipment in the accompanying consolidated balance sheets. The following table summarizes each of the idled facilities and their respective carrying values, excluding equipment and other assets that can be easily transferred for use at other facilities. There was no indication of impairment related to the Company's idle facilities as of June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Secure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Secure</w:t>
            </w:r>
          </w:p>
        </w:tc>
        <w:tc>
          <w:tcPr>
            <w:tcW w:w="2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Reentry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374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2"/>
                <w:szCs w:val="12"/>
                <w:color w:val="auto"/>
              </w:rPr>
            </w:pPr>
          </w:p>
        </w:tc>
        <w:tc>
          <w:tcPr>
            <w:tcW w:w="10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Idled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Design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(beds)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(beds)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Rivers Correctional Facility</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Big Spring Correctional Facility</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Flightline Correctional Facility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McFarland Female Community</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Reentry Facility</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 County Correctional Facility</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Hector Garza Center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Cheyenne Mountain Recovery Center</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Philadelphia Residential</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Coleman Hall</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leases nine of its owned facilities to unrelated parties. Six of which have a month-to-month term through December 2025. The carrying value of these leased facilities as of June 30, 2025 is $44.6 million, net of accumulated depreciation of $26.9 million. For the additional three leased facilities, one facility has a term that expires in October 2026. The carrying value of this leased facility as of June 30, 2025 was $2.1 million, net of accumulated depreciation of $1.0 million. One facility has a term of sixty-six months with one-year renewal options which base term expires in October 2028. The carrying value of this leased facility as of June 30, 2025 was $72.9 million, net of accumulated depreciation of $38.8 million. The remaining facility has a term of twenty years with renewals and expires in October 2041. The carrying value of this leased facility as of June 30, 2025 was $20.0 million, net of accumulated depreciation of $19.0 million. Rental income, included in Revenues, for leased facilities for each of the six months ended June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2025 and 2024, was approximately $7.5 million. As of June 30, 2025, future minimum rentals to be received on these leases are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Annual Rental</w:t>
            </w:r>
          </w:p>
        </w:tc>
        <w:tc>
          <w:tcPr>
            <w:tcW w:w="0" w:type="dxa"/>
            <w:vAlign w:val="bottom"/>
          </w:tcPr>
          <w:p>
            <w:pPr>
              <w:spacing w:after="0"/>
              <w:rPr>
                <w:sz w:val="1"/>
                <w:szCs w:val="1"/>
                <w:color w:val="auto"/>
              </w:rPr>
            </w:pPr>
          </w:p>
        </w:tc>
      </w:tr>
      <w:tr>
        <w:trPr>
          <w:trHeight w:val="173"/>
        </w:trPr>
        <w:tc>
          <w:tcPr>
            <w:tcW w:w="93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c>
          <w:tcPr>
            <w:tcW w:w="0" w:type="dxa"/>
            <w:vAlign w:val="bottom"/>
          </w:tcPr>
          <w:p>
            <w:pPr>
              <w:spacing w:after="0"/>
              <w:rPr>
                <w:sz w:val="1"/>
                <w:szCs w:val="1"/>
                <w:color w:val="auto"/>
              </w:rPr>
            </w:pPr>
          </w:p>
        </w:tc>
      </w:tr>
      <w:tr>
        <w:trPr>
          <w:trHeight w:val="216"/>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13,375</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11,911</w:t>
            </w:r>
          </w:p>
        </w:tc>
        <w:tc>
          <w:tcPr>
            <w:tcW w:w="0" w:type="dxa"/>
            <w:vAlign w:val="bottom"/>
          </w:tcPr>
          <w:p>
            <w:pPr>
              <w:spacing w:after="0"/>
              <w:rPr>
                <w:sz w:val="1"/>
                <w:szCs w:val="1"/>
                <w:color w:val="auto"/>
              </w:rPr>
            </w:pPr>
          </w:p>
        </w:tc>
      </w:tr>
      <w:tr>
        <w:trPr>
          <w:trHeight w:val="216"/>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16"/>
        </w:trPr>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104,669</w:t>
            </w:r>
          </w:p>
        </w:tc>
        <w:tc>
          <w:tcPr>
            <w:tcW w:w="0" w:type="dxa"/>
            <w:vAlign w:val="bottom"/>
          </w:tcPr>
          <w:p>
            <w:pPr>
              <w:spacing w:after="0"/>
              <w:rPr>
                <w:sz w:val="1"/>
                <w:szCs w:val="1"/>
                <w:color w:val="auto"/>
              </w:rPr>
            </w:pPr>
          </w:p>
        </w:tc>
      </w:tr>
      <w:tr>
        <w:trPr>
          <w:trHeight w:val="20"/>
        </w:trPr>
        <w:tc>
          <w:tcPr>
            <w:tcW w:w="9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940" w:firstLine="8"/>
        <w:spacing w:after="0" w:line="380"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SEGMENTS AND GEOGRAPHIC INFORMATION </w:t>
      </w:r>
      <w:r>
        <w:rPr>
          <w:rFonts w:ascii="Times New Roman" w:cs="Times New Roman" w:eastAsia="Times New Roman" w:hAnsi="Times New Roman"/>
          <w:sz w:val="18"/>
          <w:szCs w:val="18"/>
          <w:b w:val="1"/>
          <w:bCs w:val="1"/>
          <w:i w:val="1"/>
          <w:iCs w:val="1"/>
          <w:color w:val="auto"/>
        </w:rPr>
        <w:t>Operating and Reporting Segments</w:t>
      </w:r>
    </w:p>
    <w:p>
      <w:pPr>
        <w:spacing w:after="0" w:line="2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segments are determined as those operations whose results are reviewed regularly by the chief operating decision maker ("CODM"), who is the Company's Chief Executive Officer, in deciding how to allocate recourses and assess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performance. The Company conducts its business through four reportable business segments: the U.S. Secure Services segment; the Electronic Monitoring and Supervision Services segment; the Reentry Services segment; and the International Services segment. The Company has identified these four reportable segments to reflect the current view that the Company operates four distinct business lines, each of which constitutes a material part of its overall business.</w:t>
      </w:r>
    </w:p>
    <w:p>
      <w:pPr>
        <w:spacing w:after="0" w:line="12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U.S. Secure Services segment primarily encompasses U.S.-based secure services business. The Electronic Monitoring and Supervision Services segment, which conducts its services in the United States, represents services provided to adults for monitoring services and evidence-based supervision and treatment programs for community-based parolees, probationers, and pretrial defendants. The Reentry Services segment, which conducts its services in the United States represents services provided to adults for residential and non-residential treatment, educational and community-based programs, pre-release and half-way house programs. The International Services segment primarily consists of secure services operations in South Africa and Australia. Segment disclosures below (in thousands) reflect the results of continuing operations. All transactions between segments are eliminated. The accounting policies of the segments are the same as those described in the summary of significant accounting policies.</w:t>
      </w:r>
    </w:p>
    <w:p>
      <w:pPr>
        <w:spacing w:after="0" w:line="135"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Revenue and operating income for each segment are used by the CODM to assess the performance of each segment in a financial period. The performance of the operating segments is evaluated based on segment operating income, which is defined as income before income taxes before the following: unallocated corporate general and administrative expenses, interest expense, net, and loss on extinguishment of debt not allocated to the operating segments. The CODM uses segment operating income as the measure to make resource (including financial or capital resources) allocation decisions for each segment, predominantly in the annual budget and forecasting process. The CODM considers budget-to-actual variances on a monthly and quarterly basis when evaluating performance for each segment and making decisions about capital allocation.</w:t>
      </w:r>
    </w:p>
    <w:p>
      <w:pPr>
        <w:spacing w:after="0" w:line="133"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Summarized financial information for the Company's segments is shown in the following tables including a reconciliation of the Company’s total operating income from its reportable segments to the Company’s income before income taxes and equity in earnings of affiliates, in each case, during the three and six months ended June 30, 2025 and 2024, respectively.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24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1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441,665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Segment Items [2]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100,140</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163,435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(56,246)</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interest expense</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(39,441)</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equity in earnings of affiliates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-2322195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-2322195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-2322195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-2322195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80" w:type="dxa"/>
            <w:vAlign w:val="bottom"/>
          </w:tcPr>
          <w:p>
            <w:pPr>
              <w:spacing w:after="0"/>
              <w:rPr>
                <w:sz w:val="12"/>
                <w:szCs w:val="12"/>
                <w:color w:val="auto"/>
              </w:rPr>
            </w:pPr>
          </w:p>
        </w:tc>
        <w:tc>
          <w:tcPr>
            <w:tcW w:w="106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402,097</w:t>
            </w:r>
          </w:p>
        </w:tc>
        <w:tc>
          <w:tcPr>
            <w:tcW w:w="3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84,745</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68,960</w:t>
            </w:r>
          </w:p>
        </w:tc>
        <w:tc>
          <w:tcPr>
            <w:tcW w:w="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4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216,146</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22,529</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Segment Items [2]</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90,090</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79,769</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(52,198)</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interest expense</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(48,652)</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(82,339)</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asset divestitures/impairment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 and equity in earnings of affiliates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(53,753)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15,251</w:t>
            </w:r>
          </w:p>
        </w:tc>
        <w:tc>
          <w:tcPr>
            <w:tcW w:w="3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4"/>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240" w:type="dxa"/>
            <w:vAlign w:val="bottom"/>
            <w:gridSpan w:val="5"/>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847,381</w:t>
            </w:r>
          </w:p>
        </w:tc>
        <w:tc>
          <w:tcPr>
            <w:tcW w:w="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156,638</w:t>
            </w:r>
          </w:p>
        </w:tc>
        <w:tc>
          <w:tcPr>
            <w:tcW w:w="4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141,686</w:t>
            </w:r>
          </w:p>
        </w:tc>
        <w:tc>
          <w:tcPr>
            <w:tcW w:w="40" w:type="dxa"/>
            <w:vAlign w:val="bottom"/>
            <w:shd w:val="clear" w:color="auto" w:fill="CFF0FC"/>
          </w:tcPr>
          <w:p>
            <w:pPr>
              <w:spacing w:after="0"/>
              <w:rPr>
                <w:sz w:val="18"/>
                <w:szCs w:val="18"/>
                <w:color w:val="auto"/>
              </w:rPr>
            </w:pPr>
          </w:p>
        </w:tc>
        <w:tc>
          <w:tcPr>
            <w:tcW w:w="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20" w:type="dxa"/>
            <w:vAlign w:val="bottom"/>
            <w:shd w:val="clear" w:color="auto" w:fill="CFF0FC"/>
          </w:tcPr>
          <w:p>
            <w:pPr>
              <w:spacing w:after="0"/>
              <w:rPr>
                <w:sz w:val="18"/>
                <w:szCs w:val="18"/>
                <w:color w:val="auto"/>
              </w:rPr>
            </w:pPr>
          </w:p>
        </w:tc>
        <w:tc>
          <w:tcPr>
            <w:tcW w:w="4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479,266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Segment Items [2]</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191,822</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47,382</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47,569</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34,638</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146,147</w:t>
            </w:r>
          </w:p>
        </w:tc>
        <w:tc>
          <w:tcPr>
            <w:tcW w:w="40" w:type="dxa"/>
            <w:vAlign w:val="bottom"/>
          </w:tcPr>
          <w:p>
            <w:pPr>
              <w:spacing w:after="0"/>
              <w:rPr>
                <w:sz w:val="18"/>
                <w:szCs w:val="18"/>
                <w:color w:val="auto"/>
              </w:rPr>
            </w:pP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62,508</w:t>
            </w:r>
          </w:p>
        </w:tc>
        <w:tc>
          <w:tcPr>
            <w:tcW w:w="4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30,743</w:t>
            </w:r>
          </w:p>
        </w:tc>
        <w:tc>
          <w:tcPr>
            <w:tcW w:w="40" w:type="dxa"/>
            <w:vAlign w:val="bottom"/>
          </w:tcPr>
          <w:p>
            <w:pPr>
              <w:spacing w:after="0"/>
              <w:rPr>
                <w:sz w:val="18"/>
                <w:szCs w:val="18"/>
                <w:color w:val="auto"/>
              </w:rPr>
            </w:pP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20" w:type="dxa"/>
            <w:vAlign w:val="bottom"/>
          </w:tcPr>
          <w:p>
            <w:pPr>
              <w:spacing w:after="0"/>
              <w:rPr>
                <w:sz w:val="18"/>
                <w:szCs w:val="18"/>
                <w:color w:val="auto"/>
              </w:rPr>
            </w:pP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(113,995)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interest expense</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(79,885)</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 and equity in earnings of affiliates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43,891</w:t>
            </w:r>
          </w:p>
        </w:tc>
        <w:tc>
          <w:tcPr>
            <w:tcW w:w="40" w:type="dxa"/>
            <w:vAlign w:val="bottom"/>
            <w:shd w:val="clear" w:color="auto" w:fill="CFF0FC"/>
          </w:tcPr>
          <w:p>
            <w:pPr>
              <w:spacing w:after="0"/>
              <w:rPr>
                <w:sz w:val="18"/>
                <w:szCs w:val="18"/>
                <w:color w:val="auto"/>
              </w:rPr>
            </w:pPr>
          </w:p>
        </w:tc>
        <w:tc>
          <w:tcPr>
            <w:tcW w:w="3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4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40" w:type="dxa"/>
            <w:vAlign w:val="bottom"/>
            <w:shd w:val="clear" w:color="auto" w:fill="CFF0FC"/>
          </w:tcPr>
          <w:p>
            <w:pPr>
              <w:spacing w:after="0"/>
              <w:rPr>
                <w:sz w:val="18"/>
                <w:szCs w:val="18"/>
                <w:color w:val="auto"/>
              </w:rPr>
            </w:pPr>
          </w:p>
        </w:tc>
        <w:tc>
          <w:tcPr>
            <w:tcW w:w="3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shd w:val="clear" w:color="auto" w:fill="CFF0FC"/>
          </w:tcPr>
          <w:p>
            <w:pPr>
              <w:spacing w:after="0"/>
              <w:rPr>
                <w:sz w:val="18"/>
                <w:szCs w:val="18"/>
                <w:color w:val="auto"/>
              </w:rPr>
            </w:pPr>
          </w:p>
        </w:tc>
        <w:tc>
          <w:tcPr>
            <w:tcW w:w="4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44,719</w:t>
            </w:r>
          </w:p>
        </w:tc>
        <w:tc>
          <w:tcPr>
            <w:tcW w:w="40" w:type="dxa"/>
            <w:vAlign w:val="bottom"/>
          </w:tcPr>
          <w:p>
            <w:pPr>
              <w:spacing w:after="0"/>
              <w:rPr>
                <w:sz w:val="20"/>
                <w:szCs w:val="20"/>
                <w:color w:val="auto"/>
              </w:rPr>
            </w:pPr>
          </w:p>
        </w:tc>
        <w:tc>
          <w:tcPr>
            <w:tcW w:w="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4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40" w:type="dxa"/>
            <w:vAlign w:val="bottom"/>
          </w:tcPr>
          <w:p>
            <w:pPr>
              <w:spacing w:after="0"/>
              <w:rPr>
                <w:sz w:val="20"/>
                <w:szCs w:val="20"/>
                <w:color w:val="auto"/>
              </w:rPr>
            </w:pPr>
          </w:p>
        </w:tc>
        <w:tc>
          <w:tcPr>
            <w:tcW w:w="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20"/>
                <w:szCs w:val="20"/>
                <w:color w:val="auto"/>
              </w:rPr>
            </w:pPr>
          </w:p>
        </w:tc>
        <w:tc>
          <w:tcPr>
            <w:tcW w:w="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-5236845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-5236845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-5236845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-5236845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-5236845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-2322195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-2322195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-2322195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-2322195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Electronic</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U.S. Secure</w:t>
            </w:r>
          </w:p>
        </w:tc>
        <w:tc>
          <w:tcPr>
            <w:tcW w:w="124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Monitoring and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Reentry</w:t>
            </w:r>
          </w:p>
        </w:tc>
        <w:tc>
          <w:tcPr>
            <w:tcW w:w="12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Supervision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803,037</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136,790</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101,501</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1,212,857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Labor and Related Taxes [1]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437,517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Medical Services and Supplies [1]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Segment Items [2]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171,697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from Segments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(105,268)</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interest expense</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(97,473)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(82,378)</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asset divestitures/impairment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and equity in earnings of affiliates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-1425575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-1425575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-1425575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-1425575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-1425575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-593725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62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CODM. Intersegment expenses are included in the amounts shown.</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w:t>
      </w:r>
    </w:p>
    <w:p>
      <w:pPr>
        <w:spacing w:after="0" w:line="24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Secure Services </w:t>
      </w:r>
      <w:r>
        <w:rPr>
          <w:rFonts w:ascii="Times New Roman" w:cs="Times New Roman" w:eastAsia="Times New Roman" w:hAnsi="Times New Roman"/>
          <w:sz w:val="18"/>
          <w:szCs w:val="18"/>
          <w:color w:val="auto"/>
        </w:rPr>
        <w:t>- depreciation and amortization, food services and supplies, utilities, repairs and maintenance, rent and lease expense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overhead expenses.</w:t>
      </w:r>
    </w:p>
    <w:p>
      <w:pPr>
        <w:spacing w:after="0" w:line="1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Monitoring and Supervision Services </w:t>
      </w:r>
      <w:r>
        <w:rPr>
          <w:rFonts w:ascii="Times New Roman" w:cs="Times New Roman" w:eastAsia="Times New Roman" w:hAnsi="Times New Roman"/>
          <w:sz w:val="18"/>
          <w:szCs w:val="18"/>
          <w:color w:val="auto"/>
        </w:rPr>
        <w:t>- depreciation and amortization, cost of goods sold, rent and lease expense and certain other overhead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Reentry Services </w:t>
      </w:r>
      <w:r>
        <w:rPr>
          <w:rFonts w:ascii="Times New Roman" w:cs="Times New Roman" w:eastAsia="Times New Roman" w:hAnsi="Times New Roman"/>
          <w:sz w:val="18"/>
          <w:szCs w:val="18"/>
          <w:color w:val="auto"/>
        </w:rPr>
        <w:t>- depreciation and amortization, medical services and supplies, food services and supplies, rent and lease expense, utilities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overhead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Services </w:t>
      </w:r>
      <w:r>
        <w:rPr>
          <w:rFonts w:ascii="Times New Roman" w:cs="Times New Roman" w:eastAsia="Times New Roman" w:hAnsi="Times New Roman"/>
          <w:sz w:val="18"/>
          <w:szCs w:val="18"/>
          <w:color w:val="auto"/>
        </w:rPr>
        <w:t>- medical services and supplies, food services and supplies, utilities, repairs and maintenance and certain other overhead expenses.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Assets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20" w:type="dxa"/>
            <w:vAlign w:val="bottom"/>
            <w:gridSpan w:val="3"/>
          </w:tcPr>
          <w:p>
            <w:pPr>
              <w:jc w:val="right"/>
              <w:ind w:right="115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Secure Services</w:t>
            </w:r>
          </w:p>
        </w:tc>
        <w:tc>
          <w:tcPr>
            <w:tcW w:w="3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2,377,159</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2,356,105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3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518,354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504,782</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Reentry Services</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International Services</w:t>
            </w:r>
          </w:p>
        </w:tc>
        <w:tc>
          <w:tcPr>
            <w:tcW w:w="30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3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3,413,662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3,397,511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-1079500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-1079500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Reconciliation</w:t>
      </w:r>
    </w:p>
    <w:p>
      <w:pPr>
        <w:spacing w:after="0" w:line="2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Company's reportable segment assets to the Company's total assets as of June 30, 2025 and December 31, 2024,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right"/>
              <w:ind w:right="117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2"/>
                <w:szCs w:val="12"/>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Reportable segment assets</w:t>
            </w:r>
          </w:p>
        </w:tc>
        <w:tc>
          <w:tcPr>
            <w:tcW w:w="20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3,413,662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3,397,511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76,896</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investments, current and non-current</w:t>
            </w:r>
          </w:p>
        </w:tc>
        <w:tc>
          <w:tcPr>
            <w:tcW w:w="1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170,374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148,151</w:t>
            </w:r>
          </w:p>
        </w:tc>
        <w:tc>
          <w:tcPr>
            <w:tcW w:w="100" w:type="dxa"/>
            <w:vAlign w:val="bottom"/>
          </w:tcPr>
          <w:p>
            <w:pPr>
              <w:spacing w:after="0"/>
              <w:rPr>
                <w:sz w:val="18"/>
                <w:szCs w:val="18"/>
                <w:color w:val="auto"/>
              </w:rPr>
            </w:pPr>
          </w:p>
        </w:tc>
      </w:tr>
      <w:tr>
        <w:trPr>
          <w:trHeight w:val="22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3,661,419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3,632,080</w:t>
            </w:r>
          </w:p>
        </w:tc>
        <w:tc>
          <w:tcPr>
            <w:tcW w:w="100" w:type="dxa"/>
            <w:vAlign w:val="bottom"/>
            <w:shd w:val="clear" w:color="auto" w:fill="CFF0FC"/>
          </w:tcPr>
          <w:p>
            <w:pPr>
              <w:spacing w:after="0"/>
              <w:rPr>
                <w:sz w:val="19"/>
                <w:szCs w:val="19"/>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each of the six months ended June 30, 2025 and 2024, the Company’s international operations were conducted through (i) the Company’s wholly owned Australian subsidiary, The GEO Group Australia Pty. Ltd., through which the Company has management contracts for three correctional facilities and a contract to provide health services for several public prisons, and (ii) the Company’s wholly-owned subsidiary in South Africa, SACM, through which the Company manages one correctional facility.</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gridSpan w:val="7"/>
            <w:shd w:val="clear" w:color="auto" w:fill="CFF0FC"/>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2"/>
        </w:trPr>
        <w:tc>
          <w:tcPr>
            <w:tcW w:w="4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Pr>
          <w:p>
            <w:pPr>
              <w:spacing w:after="0"/>
              <w:rPr>
                <w:sz w:val="12"/>
                <w:szCs w:val="12"/>
                <w:color w:val="auto"/>
              </w:rPr>
            </w:pPr>
          </w:p>
        </w:tc>
        <w:tc>
          <w:tcPr>
            <w:tcW w:w="1000" w:type="dxa"/>
            <w:vAlign w:val="bottom"/>
            <w:tcBorders>
              <w:bottom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operations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591,901</w:t>
            </w:r>
          </w:p>
        </w:tc>
        <w:tc>
          <w:tcPr>
            <w:tcW w:w="6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555,768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1,145,705</w:t>
            </w:r>
          </w:p>
        </w:tc>
        <w:tc>
          <w:tcPr>
            <w:tcW w:w="380" w:type="dxa"/>
            <w:vAlign w:val="bottom"/>
          </w:tcPr>
          <w:p>
            <w:pPr>
              <w:spacing w:after="0"/>
              <w:rPr>
                <w:sz w:val="18"/>
                <w:szCs w:val="18"/>
                <w:color w:val="auto"/>
              </w:rPr>
            </w:pPr>
          </w:p>
        </w:tc>
        <w:tc>
          <w:tcPr>
            <w:tcW w:w="22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1,111,356</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Australia operations</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86,235</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93,731</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South African operations</w:t>
            </w:r>
          </w:p>
        </w:tc>
        <w:tc>
          <w:tcPr>
            <w:tcW w:w="16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3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bottom w:val="single" w:sz="8" w:color="CFF0FC"/>
            </w:tcBorders>
          </w:tcPr>
          <w:p>
            <w:pPr>
              <w:spacing w:after="0"/>
              <w:rPr>
                <w:sz w:val="18"/>
                <w:szCs w:val="18"/>
                <w:color w:val="auto"/>
              </w:rPr>
            </w:pPr>
          </w:p>
        </w:tc>
      </w:tr>
      <w:tr>
        <w:trPr>
          <w:trHeight w:val="249"/>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636,169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607,185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1,241,513</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center"/>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1,212,857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4"/>
        </w:trPr>
        <w:tc>
          <w:tcPr>
            <w:tcW w:w="4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4"/>
          </w:tcPr>
          <w:p>
            <w:pPr>
              <w:spacing w:after="0"/>
              <w:rPr>
                <w:sz w:val="19"/>
                <w:szCs w:val="19"/>
                <w:color w:val="auto"/>
              </w:rPr>
            </w:pPr>
          </w:p>
        </w:tc>
        <w:tc>
          <w:tcPr>
            <w:tcW w:w="300" w:type="dxa"/>
            <w:vAlign w:val="bottom"/>
            <w:gridSpan w:val="3"/>
          </w:tcPr>
          <w:p>
            <w:pPr>
              <w:spacing w:after="0"/>
              <w:rPr>
                <w:sz w:val="19"/>
                <w:szCs w:val="19"/>
                <w:color w:val="auto"/>
              </w:rPr>
            </w:pPr>
          </w:p>
        </w:tc>
      </w:tr>
      <w:tr>
        <w:trPr>
          <w:trHeight w:val="203"/>
        </w:trPr>
        <w:tc>
          <w:tcPr>
            <w:tcW w:w="416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gridSpan w:val="4"/>
            <w:shd w:val="clear" w:color="auto" w:fill="CFF0FC"/>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gridSpan w:val="4"/>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142"/>
        </w:trPr>
        <w:tc>
          <w:tcPr>
            <w:tcW w:w="4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operations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1,814,232</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Australia operations</w:t>
            </w: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9,526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1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South African operations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1,823,900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1,899,690</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-2030730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-1130935</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-1113790</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-1276350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-1130935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-1113790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-1276350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-1130935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-1113790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-1276350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-822325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-822325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Company derives most of its revenue from the management of secure facilities through public-private partnerships. The Company also derives revenue from the provision of reentry services and electronic monitoring and evidence-based supervision and treatment programs in the United States, and expansion of new and existing secure facilities, processing centers and reentry centers.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5"/>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Secure Services [1]</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485,934</w:t>
            </w:r>
          </w:p>
        </w:tc>
        <w:tc>
          <w:tcPr>
            <w:tcW w:w="720" w:type="dxa"/>
            <w:vAlign w:val="bottom"/>
            <w:gridSpan w:val="2"/>
          </w:tcPr>
          <w:p>
            <w:pPr>
              <w:jc w:val="center"/>
              <w:ind w:right="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453,480</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943,189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904,538</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Electronic Monitoring and Supervision Services</w:t>
            </w: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156,638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171,529</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Reentry Services</w:t>
            </w: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141,686</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136,790</w:t>
            </w:r>
          </w:p>
        </w:tc>
        <w:tc>
          <w:tcPr>
            <w:tcW w:w="100" w:type="dxa"/>
            <w:vAlign w:val="bottom"/>
          </w:tcPr>
          <w:p>
            <w:pPr>
              <w:spacing w:after="0"/>
              <w:rPr>
                <w:sz w:val="18"/>
                <w:szCs w:val="18"/>
                <w:color w:val="auto"/>
              </w:rPr>
            </w:pPr>
          </w:p>
        </w:tc>
      </w:tr>
      <w:tr>
        <w:trPr>
          <w:trHeight w:val="24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636,169</w:t>
            </w:r>
          </w:p>
        </w:tc>
        <w:tc>
          <w:tcPr>
            <w:tcW w:w="720" w:type="dxa"/>
            <w:vAlign w:val="bottom"/>
            <w:gridSpan w:val="2"/>
            <w:shd w:val="clear" w:color="auto" w:fill="CFF0FC"/>
          </w:tcPr>
          <w:p>
            <w:pPr>
              <w:jc w:val="center"/>
              <w:ind w:right="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607,185</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1,241,513</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1,212,857</w:t>
            </w:r>
          </w:p>
        </w:tc>
        <w:tc>
          <w:tcPr>
            <w:tcW w:w="100" w:type="dxa"/>
            <w:vAlign w:val="bottom"/>
            <w:shd w:val="clear" w:color="auto" w:fill="CFF0FC"/>
          </w:tcPr>
          <w:p>
            <w:pPr>
              <w:spacing w:after="0"/>
              <w:rPr>
                <w:sz w:val="21"/>
                <w:szCs w:val="21"/>
                <w:color w:val="auto"/>
              </w:rPr>
            </w:pPr>
          </w:p>
        </w:tc>
      </w:tr>
      <w:tr>
        <w:trPr>
          <w:trHeight w:val="629"/>
        </w:trPr>
        <w:tc>
          <w:tcPr>
            <w:tcW w:w="456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-933450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-916305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-933450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-916305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-933450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-916305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[1] Includes international secured services.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Affiliates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Equity in earnings of affiliates includes the Company’s 50% owned joint ventures in South African Custodial Services Pty. Limited (“SACS”), located in South Africa, and GEOAmey located in the United Kingdom. The Company's investments in these entities are accounted for under the equity method of accounting. The Company’s investments in these entities are presented as a component of Other Non-Current Assets in the accompanying consolidated balance sheets.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recorded $1.8 million in earnings, net of tax, for SACS operations during the six months ended June 30, 2025, and $0.1 million in losses, net of tax, for SACS operations during the six months ended June 30, 2024, which are included in equity in earnings of affiliates, net of income tax provision in the accompanying consolidated statements of operations. As of June 30, 2025 and December 31, 2024, the Company’s investment in SACS was $8.6 million and $8.1 million, respectively, and represents its share of cumulative reported earnings.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recorded $1.2 million in earnings, net of tax, for GEOAmey's operations during the six months ended June 30, 2025, and $0.9 million in earnings, net of tax, for GEOAmey's operations during the six months ended June 30, 2024, which are included in equity in earnings of affiliates, net of income tax provision in the accompanying consolidated statements of operations. As of June 30, 2025 and December 31, 2024, the Company’s investment in GEOAmey was $9.1 million and $10.3 million, respectively, and represents its share of cumulative reported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key information related to the Company’s pension plans and retirement agreements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beginning of period</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Actuarial gain</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 end of period</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beginning of period</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contributions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Plan assets at fair value, end of period</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Unfunded Status of the Plan</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-873760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-316865</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2024</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June 30, 2025</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(gain) loss</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1,038</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service cost and other components of net periodic benefit cost are included in General and Administrative Expenses in the accompanying consolidated statements of operations.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long-term portion of the pension liability as of June 30, 2025 and December 31, 2024 was $26.7 million and $26.2 million, respectively, and is included in Other Non-Current Liabilities in the accompanying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Executive Retirement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1" w:name="page32"/>
    <w:bookmarkEnd w:id="31"/>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a non-qualified deferred compensation agreement with its Executive Chairman. The agreement provides for a lump sum cash payment upon retirement, no sooner than age 55. As of June 30, 2025, the Executive Chairman had reached age 55 and was eligible to receive the payment upon retirement.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27, 2021, the Company and its Executive Chairman entered into an Amended and Restated Executive Retirement Agreement which replaced the former CEO’s previous agreement, effective July 1, 2021. Pursuant to the terms of the Amended and Restated Executive Retirement Agreement, upon the date that the Executive Chairman ceases to provide services to the Company, the Company will pay to the Executive Chairman an amount equal to $3.6 million which shall be paid in cash. The payment shall be credited with interest at a rate of 5% compounded quarterly. Additionally, at the end of each calendar year provided that the Executive Chairman is still providing services to GEO pursuant to the Executive Chairman Agreement, GEO will credit an amount equal to $1.0 million at the end of each calendar year (the “Employment Contributions Account”). The Employment Contributions Account will be credited with interest at the rate of 5% compounded quarterly. The balance of the Amended and Restated Executive Retirement Agreement was approximately $13.9 million at June 30, 2025 and is included in Other Non-Current Liabilities in the accompanying consolidated balance sheets.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established several trusts for the purpose of paying the retirement benefit pursuant to the Amended and Restated Executive Retirement Agreement. The trusts are revocable “rabbi trusts” and the assets of the trusts are subject to the claims of the Company’s creditors in the event of the Company’s insolvency.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3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when we will adopt the ASU.</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will adopt this ASU prospectively for the period ending December 31, 2025, and it will impact only our disclosures with no impacts to our financial condition and results of operations.</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We adopted the new standard effective December 31, 2024. As a result, we have enhanced our interim period segment disclosures to include the presentation of significant expenses by segment (recast for prior periods presented) and the disclosure of our CODM. Refer to Note 12 - Business Segments and Geographic Information.</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did not, or are not expected to, have a material effect on the Company's results of operations or financial position.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July 14, 2025, the Company entered into that certain First Amendment to Credit Agreement (the “Amendment”) which amended its Credit Agreement dated as of April 18, 2024. The Amendment increases the Company's Revolving Credit Facility (the “Revolver”) commitments from $310 million to $450 million and extends the Revolver’s maturity from April 15, 2029 to July 14, 2030. The Amendment also lowered the applicable interest rates based on the total leverage ratio for loans using the Alternate Base Rate and loans using the Secured Overnight Financing Rate (“SOFR”) by 0.50%. Currently, revolving credit loans accruing interest at a SOFR based rate would accrue interest at the term SOFR reference rate for the applicable interest period plus 2.75% per annum, which is lower by 0.50% from the applicable rate prior to the Amendment. The Amendment also increases the Company's capacity to make restricted payments over the next five years and makes certain additional modifications to the Credit Agreement. Prior to the closing of the Amendment, GEO repaid $132 million of the Term Loan B outstanding under the Credit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3, 2025, the Company entered into a Purchase and Sale Agreement (the “Sale Agreement”) with CPT Operating Partnership L.P. (together with GEO, the “Seller”) and the State of Oklahoma (the “Purchaser”) pursuant to which, subject to the terms of the Sale Agreement, the Seller agreed to sell the 2,388-bed Lawton Correctional Facility located in Lawton, Oklahoma (the “Lawton Facility”) to the Purchaser for a sale price of $312 million. The sale resulted in a gain of approximately $228 million. At June 30, 2025, the Lawton Facility is included in Assets Held for Sale in the accompanying consolidated balance sheets. The Sale Agreement also contained certain customary representations, warranties and covenants that the parties made to each other. The sale of the Lawton Facility closed on July 25, 2025 and the Company transitioned facility operations to the Oklahoma Department of Corrections simultaneously on July 25,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1, 2025, the Company announced that it had entered into a purchase agreement with SDCC Middle Block, LLC (the “Seller”), an affiliate of Holland Partners Group, to acquire the 770-bed Western Region Detention Facility located in San Diego, California (the “San Diego Facility”) for approximately $60 million. The Company previously leased the San Diego Facility for approximately $5.1 million annually under a lease agreement that was scheduled to expire on March 31, 2029. GEO has a contract with the U.S. Marshals Service for the exclusive use of the San Diego Facility.</w:t>
      </w:r>
    </w:p>
    <w:p>
      <w:pPr>
        <w:spacing w:after="0" w:line="180"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The purchase of the San Diego Facility closed on July 31, 2025 and was funded as a like kind real estate property exchange with proceeds from the sale of Lawton Facility, which closed on July 25, 2025 as discussed above, resulting in an estimated capital gains cash tax savings of approximately $9.3 million.</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Following the closing of the sale of the Lawton Facility and the purchase of the San Diego Facility, GEO had approximately $222 million in net proceeds. The Company used the net proceeds, along with cash on hand and available liquidity, to pay off senior secured debt, including approximately $300 million in floating rate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of Certain Officers</w:t>
      </w:r>
    </w:p>
    <w:p>
      <w:pPr>
        <w:spacing w:after="0" w:line="22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On July 7, 2025, George C. Zoley and the Company entered into the Amendment to Executive Chairman Employment Agreement (the “Executive Chairman Amendment”). The Executive Chairman Amendment modifies Dr. Zoley’s employment agreement by extending his employment term as Executive Chairman from June 30, 2026 to April 2, 2029, updating his base salary to reflect the base salary previously approved by the Committee in February 2025 and modifying each of the Target Bonus (as defined below) and Target Stock Award (as defined below) applicable to Dr. Zoley from 100% to 150% of his base salary. The Compensation Committee of the Board of Directors (the “Committee”) approved the Executive Chairman Amendment on July 3, 2025.</w:t>
      </w:r>
    </w:p>
    <w:p>
      <w:pPr>
        <w:spacing w:after="0" w:line="187" w:lineRule="exact"/>
        <w:rPr>
          <w:sz w:val="20"/>
          <w:szCs w:val="20"/>
          <w:color w:val="auto"/>
        </w:rPr>
      </w:pPr>
    </w:p>
    <w:p>
      <w:pPr>
        <w:ind w:left="20" w:right="280"/>
        <w:spacing w:after="0" w:line="256" w:lineRule="auto"/>
        <w:rPr>
          <w:sz w:val="20"/>
          <w:szCs w:val="20"/>
          <w:color w:val="auto"/>
        </w:rPr>
      </w:pPr>
      <w:r>
        <w:rPr>
          <w:rFonts w:ascii="Times New Roman" w:cs="Times New Roman" w:eastAsia="Times New Roman" w:hAnsi="Times New Roman"/>
          <w:sz w:val="18"/>
          <w:szCs w:val="18"/>
          <w:color w:val="auto"/>
        </w:rPr>
        <w:t>On July 3, 2025, the Committee approved an adjustment to the annual cash incentive target amount pursuant to the terms of the Senior Management Performance Award Plan (the “Target Bonus”) and the annual equity incentive award target amount (the “Target Stock Award”) applicable to the Company’s Chief Executive Officer, J. David Donahue. The Committee approved the adjustment of each of the Target Bonus and Target Stock Award from 100% to 150% of his base salary. On August 4, 2025, Mr. Donahue and the Company entered into the Amendment to Executive Employment Agreement (the "Executive Amendment") to reflect the adjustments to each of the Target Bonus and Target Stock Award applicable to Mr. Donahue from 100% to 150% of his base salary.</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9" w:right="419" w:bottom="1440" w:gutter="0" w:footer="0" w:header="0"/>
        </w:sectPr>
      </w:pPr>
    </w:p>
    <w:bookmarkStart w:id="33" w:name="page34"/>
    <w:bookmarkEnd w:id="33"/>
    <w:p>
      <w:pPr>
        <w:ind w:right="220"/>
        <w:spacing w:after="0" w:line="261" w:lineRule="auto"/>
        <w:rPr>
          <w:sz w:val="20"/>
          <w:szCs w:val="20"/>
          <w:color w:val="auto"/>
        </w:rPr>
      </w:pPr>
      <w:r>
        <w:rPr>
          <w:rFonts w:ascii="Times New Roman" w:cs="Times New Roman" w:eastAsia="Times New Roman" w:hAnsi="Times New Roman"/>
          <w:sz w:val="18"/>
          <w:szCs w:val="18"/>
          <w:color w:val="auto"/>
        </w:rPr>
        <w:t>On July 15, 2025, the Committee of the Company approved a modification to the vesting schedule of the one-time special recognition stock award of 207,862 shares of restricted stock granted to George C. Zoley, the Company’s Executive Chairman, on March 3, 2025 such that the award vested on July 17, 2025 instead of March 3, 2026. The Committee approved the modification in light of and in connection with the Executive Chairman Amendment entered into on July 7, 2025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4, 2025, the Company's Board of Directors authorized and approved a Share Repurchase Program covering the repurchase of up to $300 million of shares of the Company's common stock through an expiration date of June 30, 2028. Repurchases of the Company's common stock will be made in accordance with applicable securities laws and may be made at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the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the Company to purchase any particular amount of the Company’s common stock.</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Supervision and Appearance Program</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31, 2025, the Company entered into a 30-day interim agreement with ICE to extend the Intense Supervision and Appearance Program ("ISAP") through August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related to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for the year ending December 31, 2025 while others are effective starting after this date. The Company is currently assessing OBBBA's impact on its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right="1140"/>
        <w:spacing w:after="0" w:line="38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Information</w:t>
      </w:r>
    </w:p>
    <w:p>
      <w:pPr>
        <w:spacing w:after="0" w:line="7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and the documents incorporated by reference herein contain “forward-looking” statements within the meaning of Section 27A of the Securities Act of 1933, as amended, and Section 21E of the Securities Exchange Act of 1934, as amended. “Forward-looking” statements are any statements that are not based on historical information. Statements other than statements of historical facts included in this report, including, without limitation, statements regarding our future financial position, business strategy, budgets, projected costs and plans and objectives of management for future operations, legal proceedings and potential steps to address our future debt maturities are “forward-looking” statements. Forward-looking statements generally can be identified by the use of forward-looking terminology such as “may,” “will,” “expect,” “anticipate,” “intend,” “plan,” “believe,” “seek,” “estimate” or “continue” or the negative of such words or variations of such words and similar expressions. These statements are not guarantees of future performance and involve certain risks, uncertainties and assumptions, which are difficult to predict. Therefore, actual outcomes and results may differ materially from what is expressed or forecasted in such forward-looking statements and we can give no assurance that such forward-looking statements will prove to be correct. Important factors that could cause actual results to differ materially from those expressed or implied by the forward-looking statements, or “cautionary statements,” include, but are not limited to:</w:t>
      </w:r>
    </w:p>
    <w:p>
      <w:pPr>
        <w:spacing w:after="0" w:line="300" w:lineRule="exact"/>
        <w:rPr>
          <w:sz w:val="20"/>
          <w:szCs w:val="20"/>
          <w:color w:val="auto"/>
        </w:rPr>
      </w:pPr>
    </w:p>
    <w:p>
      <w:pPr>
        <w:ind w:left="114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timely build and/or open facilities as planned, successfully manage such facilities and successfully integrate such facilities into our operations without substantial additional costs;</w:t>
      </w:r>
    </w:p>
    <w:p>
      <w:pPr>
        <w:spacing w:after="0" w:line="53" w:lineRule="exact"/>
        <w:rPr>
          <w:rFonts w:ascii="Times New Roman" w:cs="Times New Roman" w:eastAsia="Times New Roman" w:hAnsi="Times New Roman"/>
          <w:sz w:val="14"/>
          <w:szCs w:val="14"/>
          <w:color w:val="auto"/>
        </w:rPr>
      </w:pPr>
    </w:p>
    <w:p>
      <w:pPr>
        <w:ind w:left="1140" w:right="72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estimate the government’s level of utilization of public-private partnerships for secure services and the impact of any modifications or reductions by our government customers of their utilization of public-private partnerships;</w:t>
      </w:r>
    </w:p>
    <w:p>
      <w:pPr>
        <w:spacing w:after="0" w:line="53" w:lineRule="exact"/>
        <w:rPr>
          <w:rFonts w:ascii="Times New Roman" w:cs="Times New Roman" w:eastAsia="Times New Roman" w:hAnsi="Times New Roman"/>
          <w:sz w:val="14"/>
          <w:szCs w:val="14"/>
          <w:color w:val="auto"/>
        </w:rPr>
      </w:pPr>
    </w:p>
    <w:p>
      <w:pPr>
        <w:ind w:left="1140" w:right="4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accurately project the size and growth of public-private partnerships for secure services in the U.S. and internationally and our ability to capitalize on opportunities for public-private partnerships;</w:t>
      </w:r>
    </w:p>
    <w:p>
      <w:pPr>
        <w:spacing w:after="0" w:line="53" w:lineRule="exact"/>
        <w:rPr>
          <w:rFonts w:ascii="Times New Roman" w:cs="Times New Roman" w:eastAsia="Times New Roman" w:hAnsi="Times New Roman"/>
          <w:sz w:val="14"/>
          <w:szCs w:val="14"/>
          <w:color w:val="auto"/>
        </w:rPr>
      </w:pPr>
    </w:p>
    <w:p>
      <w:pPr>
        <w:ind w:left="1140" w:right="80" w:hanging="383"/>
        <w:spacing w:after="0" w:line="266"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successfully respond to any challenges or concerns that our government customers may raise regarding their use of public-private partnerships for secure services, including finding other government customers or alternative uses for facilities where a government customer has discontinued or announced that a contract with us will be discontinued;</w:t>
      </w:r>
    </w:p>
    <w:p>
      <w:pPr>
        <w:spacing w:after="0" w:line="67" w:lineRule="exact"/>
        <w:rPr>
          <w:rFonts w:ascii="Times New Roman" w:cs="Times New Roman" w:eastAsia="Times New Roman" w:hAnsi="Times New Roman"/>
          <w:sz w:val="14"/>
          <w:szCs w:val="14"/>
          <w:color w:val="auto"/>
        </w:rPr>
      </w:pPr>
    </w:p>
    <w:p>
      <w:pPr>
        <w:ind w:left="1140" w:right="320" w:hanging="383"/>
        <w:spacing w:after="0" w:line="266"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impact of adopted or proposed executive action or legislation aimed at limiting public-private partnerships for secure facilities, processing centers and community reentry centers or limiting or restricting the business and operations of financial institutions or others who do business with us;</w:t>
      </w:r>
    </w:p>
    <w:p>
      <w:pPr>
        <w:spacing w:after="0" w:line="67" w:lineRule="exact"/>
        <w:rPr>
          <w:rFonts w:ascii="Times New Roman" w:cs="Times New Roman" w:eastAsia="Times New Roman" w:hAnsi="Times New Roman"/>
          <w:sz w:val="14"/>
          <w:szCs w:val="14"/>
          <w:color w:val="auto"/>
        </w:rPr>
      </w:pPr>
    </w:p>
    <w:p>
      <w:pPr>
        <w:ind w:left="1140" w:right="10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successfully respond to delays encountered by states pursuing public-private partnerships for secure services and cost savings initiatives implemented by a number of states;</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activate the inactive beds at our idle facilities;</w:t>
      </w:r>
    </w:p>
    <w:p>
      <w:pPr>
        <w:spacing w:after="0" w:line="117" w:lineRule="exact"/>
        <w:rPr>
          <w:rFonts w:ascii="Times New Roman" w:cs="Times New Roman" w:eastAsia="Times New Roman" w:hAnsi="Times New Roman"/>
          <w:sz w:val="14"/>
          <w:szCs w:val="14"/>
          <w:color w:val="auto"/>
        </w:rPr>
      </w:pPr>
    </w:p>
    <w:p>
      <w:pPr>
        <w:ind w:left="1140" w:right="44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maintain or increase occupancy rates at our facilities and the impact of fluctuations in occupancy levels or participants in ISAP on our revenues and profitability;</w:t>
      </w:r>
    </w:p>
    <w:p>
      <w:pPr>
        <w:spacing w:after="0" w:line="53" w:lineRule="exact"/>
        <w:rPr>
          <w:rFonts w:ascii="Times New Roman" w:cs="Times New Roman" w:eastAsia="Times New Roman" w:hAnsi="Times New Roman"/>
          <w:sz w:val="14"/>
          <w:szCs w:val="14"/>
          <w:color w:val="auto"/>
        </w:rPr>
      </w:pPr>
    </w:p>
    <w:p>
      <w:pPr>
        <w:ind w:left="1140" w:right="44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expand, diversify and grow our secure services, reentry, community-based services, monitoring services, evidence-based supervision and treatment programs and secure transportation services businesses;</w:t>
      </w:r>
    </w:p>
    <w:p>
      <w:pPr>
        <w:spacing w:after="0" w:line="53" w:lineRule="exact"/>
        <w:rPr>
          <w:rFonts w:ascii="Times New Roman" w:cs="Times New Roman" w:eastAsia="Times New Roman" w:hAnsi="Times New Roman"/>
          <w:sz w:val="14"/>
          <w:szCs w:val="14"/>
          <w:color w:val="auto"/>
        </w:rPr>
      </w:pPr>
    </w:p>
    <w:p>
      <w:pPr>
        <w:ind w:left="1140" w:right="400" w:hanging="383"/>
        <w:spacing w:after="0" w:line="266"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win management contracts for which we have submitted proposals, retain existing management contracts, prevail in any challenge or protest involving the award of a management contract and meet any performance standards required by such management contracts;</w:t>
      </w:r>
    </w:p>
    <w:p>
      <w:pPr>
        <w:spacing w:after="0" w:line="67" w:lineRule="exact"/>
        <w:rPr>
          <w:rFonts w:ascii="Times New Roman" w:cs="Times New Roman" w:eastAsia="Times New Roman" w:hAnsi="Times New Roman"/>
          <w:sz w:val="14"/>
          <w:szCs w:val="14"/>
          <w:color w:val="auto"/>
        </w:rPr>
      </w:pPr>
    </w:p>
    <w:p>
      <w:pPr>
        <w:ind w:left="114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raise new project development capital given the often short-term nature of the customers’ commitment to use newly developed facilities;</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develop long-term earnings visibility;</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successfully conduct our operations in the United Kingdom and South Africa through joint ventures;</w:t>
      </w:r>
    </w:p>
    <w:p>
      <w:pPr>
        <w:spacing w:after="0" w:line="117" w:lineRule="exact"/>
        <w:rPr>
          <w:rFonts w:ascii="Times New Roman" w:cs="Times New Roman" w:eastAsia="Times New Roman" w:hAnsi="Times New Roman"/>
          <w:sz w:val="14"/>
          <w:szCs w:val="14"/>
          <w:color w:val="auto"/>
        </w:rPr>
      </w:pPr>
    </w:p>
    <w:p>
      <w:pPr>
        <w:ind w:left="1140" w:right="640" w:hanging="383"/>
        <w:spacing w:after="0" w:line="282" w:lineRule="auto"/>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instability of foreign exchange rates, exposing us to currency risks in Australia, the United Kingdom, and South Africa, or other countries in which we may choose to conduct our business;</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increase in unreimbursed labor rates;</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exposure to rising medical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manage costs and expenses relating to ongoing litigation arising from our operations;</w:t>
      </w:r>
    </w:p>
    <w:p>
      <w:pPr>
        <w:spacing w:after="0" w:line="117" w:lineRule="exact"/>
        <w:rPr>
          <w:rFonts w:ascii="Times New Roman" w:cs="Times New Roman" w:eastAsia="Times New Roman" w:hAnsi="Times New Roman"/>
          <w:sz w:val="14"/>
          <w:szCs w:val="14"/>
          <w:color w:val="auto"/>
        </w:rPr>
      </w:pPr>
    </w:p>
    <w:p>
      <w:pPr>
        <w:ind w:left="383" w:right="380" w:hanging="383"/>
        <w:spacing w:after="0" w:line="266"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successfully pursue an appeal to reverse the unfavorable verdict and judgments in the retrial of the lawsuits in the State of Washington, our company being required to record an accrual for the judgments in the future, and our ability to defend similar other pending litigation and the effect such litigation may have on our company;</w:t>
      </w:r>
    </w:p>
    <w:p>
      <w:pPr>
        <w:spacing w:after="0" w:line="67" w:lineRule="exact"/>
        <w:rPr>
          <w:rFonts w:ascii="Times New Roman" w:cs="Times New Roman" w:eastAsia="Times New Roman" w:hAnsi="Times New Roman"/>
          <w:sz w:val="14"/>
          <w:szCs w:val="14"/>
          <w:color w:val="auto"/>
        </w:rPr>
      </w:pPr>
    </w:p>
    <w:p>
      <w:pPr>
        <w:ind w:left="383" w:right="54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accurately estimate on an annual basis, loss reserves related to general liability, workers’ compensation and automobile liability claims;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fulfill our debt service obligations and its impact on our liquidity;</w:t>
      </w:r>
    </w:p>
    <w:p>
      <w:pPr>
        <w:spacing w:after="0" w:line="117"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deleverage and repay, refinance or otherwise address our debt maturities in an amount or on the timeline we expect, or at all;</w:t>
      </w:r>
    </w:p>
    <w:p>
      <w:pPr>
        <w:spacing w:after="0" w:line="117" w:lineRule="exact"/>
        <w:rPr>
          <w:rFonts w:ascii="Times New Roman" w:cs="Times New Roman" w:eastAsia="Times New Roman" w:hAnsi="Times New Roman"/>
          <w:sz w:val="14"/>
          <w:szCs w:val="14"/>
          <w:color w:val="auto"/>
        </w:rPr>
      </w:pPr>
    </w:p>
    <w:p>
      <w:pPr>
        <w:ind w:left="383" w:right="80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despite current indebtedness levels, we may still incur more indebtedness, which could further exacerbate the risks relating to our indebtedness;</w:t>
      </w:r>
    </w:p>
    <w:p>
      <w:pPr>
        <w:spacing w:after="0" w:line="53" w:lineRule="exact"/>
        <w:rPr>
          <w:rFonts w:ascii="Times New Roman" w:cs="Times New Roman" w:eastAsia="Times New Roman" w:hAnsi="Times New Roman"/>
          <w:sz w:val="14"/>
          <w:szCs w:val="14"/>
          <w:color w:val="auto"/>
        </w:rPr>
      </w:pPr>
    </w:p>
    <w:p>
      <w:pPr>
        <w:ind w:left="383" w:right="62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covenants in the indentures governing the Secured Notes and the Unsecured Notes and the Credit Agreement impose significant operating and financial restrictions which may adversely affect our ability to operate our business;</w:t>
      </w:r>
    </w:p>
    <w:p>
      <w:pPr>
        <w:spacing w:after="0" w:line="53" w:lineRule="exact"/>
        <w:rPr>
          <w:rFonts w:ascii="Times New Roman" w:cs="Times New Roman" w:eastAsia="Times New Roman" w:hAnsi="Times New Roman"/>
          <w:sz w:val="14"/>
          <w:szCs w:val="14"/>
          <w:color w:val="auto"/>
        </w:rPr>
      </w:pPr>
    </w:p>
    <w:p>
      <w:pPr>
        <w:ind w:left="383" w:right="24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servicing our indebtedness will require a significant amount of cash and our ability to generate cash depends on many factors beyond our control and we may not be able to generate the cash required to service our indebtedness;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because portions of our senior indebtedness have floating interest rates, an increase in interest rates would adversely affect cash flows;</w:t>
      </w:r>
    </w:p>
    <w:p>
      <w:pPr>
        <w:spacing w:after="0" w:line="117"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depend on distributions from our subsidiaries to make payments on our indebtedness and these distributions may not be made;</w:t>
      </w:r>
    </w:p>
    <w:p>
      <w:pPr>
        <w:spacing w:after="0" w:line="117" w:lineRule="exact"/>
        <w:rPr>
          <w:rFonts w:ascii="Times New Roman" w:cs="Times New Roman" w:eastAsia="Times New Roman" w:hAnsi="Times New Roman"/>
          <w:sz w:val="14"/>
          <w:szCs w:val="14"/>
          <w:color w:val="auto"/>
        </w:rPr>
      </w:pPr>
    </w:p>
    <w:p>
      <w:pPr>
        <w:ind w:left="383" w:right="4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may not be able to satisfy our repurchase obligations in the event of a change of control because the terms of our indebtedness or lack of funds may prevent us from doing so;</w:t>
      </w:r>
    </w:p>
    <w:p>
      <w:pPr>
        <w:spacing w:after="0" w:line="53" w:lineRule="exact"/>
        <w:rPr>
          <w:rFonts w:ascii="Times New Roman" w:cs="Times New Roman" w:eastAsia="Times New Roman" w:hAnsi="Times New Roman"/>
          <w:sz w:val="14"/>
          <w:szCs w:val="14"/>
          <w:color w:val="auto"/>
        </w:rPr>
      </w:pPr>
    </w:p>
    <w:p>
      <w:pPr>
        <w:ind w:left="383" w:right="18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Unsecured Notes and the guarantees on the Unsecured Notes will be effectively subordinated to our and the guarantors' senior secured indebtedness and structurally subordinated to the indebtedness of our subsidiaries that do not guarantee the Unsecured Notes;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value of the collateral may not be sufficient to satisfy our obligations under the Secured Notes;</w:t>
      </w:r>
    </w:p>
    <w:p>
      <w:pPr>
        <w:spacing w:after="0" w:line="117" w:lineRule="exact"/>
        <w:rPr>
          <w:rFonts w:ascii="Times New Roman" w:cs="Times New Roman" w:eastAsia="Times New Roman" w:hAnsi="Times New Roman"/>
          <w:sz w:val="14"/>
          <w:szCs w:val="14"/>
          <w:color w:val="auto"/>
        </w:rPr>
      </w:pPr>
    </w:p>
    <w:p>
      <w:pPr>
        <w:ind w:left="383" w:right="20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identify and successfully complete any potential sales of additional Company-owned assets and businesses on commercially advantageous terms on a timely basis, or at all;</w:t>
      </w:r>
    </w:p>
    <w:p>
      <w:pPr>
        <w:spacing w:after="0" w:line="53" w:lineRule="exact"/>
        <w:rPr>
          <w:rFonts w:ascii="Times New Roman" w:cs="Times New Roman" w:eastAsia="Times New Roman" w:hAnsi="Times New Roman"/>
          <w:sz w:val="14"/>
          <w:szCs w:val="14"/>
          <w:color w:val="auto"/>
        </w:rPr>
      </w:pPr>
    </w:p>
    <w:p>
      <w:pPr>
        <w:jc w:val="both"/>
        <w:ind w:left="383" w:right="200" w:hanging="383"/>
        <w:spacing w:after="0" w:line="266"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from time to time, we may not have a management contract with a client to operate existing beds at a facility or new beds at a facility that we are expanding, and we cannot assure you that such a contract will be obtained. Failure to obtain a management contract for these beds will subject us to carrying costs with no corresponding management revenue;</w:t>
      </w:r>
    </w:p>
    <w:p>
      <w:pPr>
        <w:spacing w:after="0" w:line="67" w:lineRule="exact"/>
        <w:rPr>
          <w:rFonts w:ascii="Times New Roman" w:cs="Times New Roman" w:eastAsia="Times New Roman" w:hAnsi="Times New Roman"/>
          <w:sz w:val="14"/>
          <w:szCs w:val="14"/>
          <w:color w:val="auto"/>
        </w:rPr>
      </w:pPr>
    </w:p>
    <w:p>
      <w:pPr>
        <w:ind w:left="383" w:right="4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negative conditions in the capital markets could prevent us from obtaining future financing on desirable terms, which could materially harm our business;</w:t>
      </w:r>
    </w:p>
    <w:p>
      <w:pPr>
        <w:spacing w:after="0" w:line="53" w:lineRule="exact"/>
        <w:rPr>
          <w:rFonts w:ascii="Times New Roman" w:cs="Times New Roman" w:eastAsia="Times New Roman" w:hAnsi="Times New Roman"/>
          <w:sz w:val="14"/>
          <w:szCs w:val="14"/>
          <w:color w:val="auto"/>
        </w:rPr>
      </w:pPr>
    </w:p>
    <w:p>
      <w:pPr>
        <w:jc w:val="both"/>
        <w:ind w:left="383" w:right="80" w:hanging="383"/>
        <w:spacing w:after="0" w:line="266"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are subject to the loss of our facility management contracts, due to executive orders, terminations, non-renewals or competitive re-bids, which could adversely affect our results of operations and liquidity, including our ability to secure new facility management contracts from other government customers;</w:t>
      </w:r>
    </w:p>
    <w:p>
      <w:pPr>
        <w:spacing w:after="0" w:line="67" w:lineRule="exact"/>
        <w:rPr>
          <w:rFonts w:ascii="Times New Roman" w:cs="Times New Roman" w:eastAsia="Times New Roman" w:hAnsi="Times New Roman"/>
          <w:sz w:val="14"/>
          <w:szCs w:val="14"/>
          <w:color w:val="auto"/>
        </w:rPr>
      </w:pPr>
    </w:p>
    <w:p>
      <w:pPr>
        <w:ind w:left="383" w:hanging="383"/>
        <w:spacing w:after="0" w:line="266"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growth depends on our ability to secure contracts to develop and manage new secure facilities, processing centers and community-based facilities and to secure contracts to provide electronic monitoring services, community-based reentry services and monitoring and supervision services, the demand for which is outside our control;</w:t>
      </w:r>
    </w:p>
    <w:p>
      <w:pPr>
        <w:spacing w:after="0" w:line="67" w:lineRule="exact"/>
        <w:rPr>
          <w:rFonts w:ascii="Times New Roman" w:cs="Times New Roman" w:eastAsia="Times New Roman" w:hAnsi="Times New Roman"/>
          <w:sz w:val="14"/>
          <w:szCs w:val="14"/>
          <w:color w:val="auto"/>
        </w:rPr>
      </w:pPr>
    </w:p>
    <w:p>
      <w:pPr>
        <w:ind w:left="383" w:right="46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may not be able to meet state requirements for capital investment or locate land for the development of new facilities, which could adversely affect our results of operations and future growth;</w:t>
      </w:r>
    </w:p>
    <w:p>
      <w:pPr>
        <w:spacing w:after="0" w:line="53" w:lineRule="exact"/>
        <w:rPr>
          <w:rFonts w:ascii="Times New Roman" w:cs="Times New Roman" w:eastAsia="Times New Roman" w:hAnsi="Times New Roman"/>
          <w:sz w:val="14"/>
          <w:szCs w:val="14"/>
          <w:color w:val="auto"/>
        </w:rPr>
      </w:pPr>
    </w:p>
    <w:p>
      <w:pPr>
        <w:ind w:left="383" w:right="580" w:hanging="383"/>
        <w:spacing w:after="0" w:line="282" w:lineRule="auto"/>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partner with a limited number of governmental customers who account for a significant portion of our revenues. The loss of, or a significant decrease in revenues from, these customers could seriously harm our financial condition and results of operations;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efforts to reduce the U.S. federal deficit could adversely affect our liquidity, results of operations and financial condition;</w:t>
      </w:r>
    </w:p>
    <w:p>
      <w:pPr>
        <w:spacing w:after="0" w:line="117"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State budgetary constraints may have a material adverse impact on us;</w:t>
      </w:r>
    </w:p>
    <w:p>
      <w:pPr>
        <w:spacing w:after="0" w:line="117"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competition for contracts may adversely affect the profitability of our business;</w:t>
      </w:r>
    </w:p>
    <w:p>
      <w:pPr>
        <w:spacing w:after="0" w:line="22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36" w:name="page37"/>
    <w:bookmarkEnd w:id="36"/>
    <w:p>
      <w:pPr>
        <w:ind w:left="383" w:right="44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are dependent on government appropriations, which may not be made on a timely basis or at all and may be adversely impacted by budgetary constraints at the federal, state, local and foreign government levels;</w:t>
      </w:r>
    </w:p>
    <w:p>
      <w:pPr>
        <w:spacing w:after="0" w:line="53" w:lineRule="exact"/>
        <w:rPr>
          <w:rFonts w:ascii="Times New Roman" w:cs="Times New Roman" w:eastAsia="Times New Roman" w:hAnsi="Times New Roman"/>
          <w:sz w:val="14"/>
          <w:szCs w:val="14"/>
          <w:color w:val="auto"/>
        </w:rPr>
      </w:pPr>
    </w:p>
    <w:p>
      <w:pPr>
        <w:ind w:left="383" w:right="180" w:hanging="383"/>
        <w:spacing w:after="0" w:line="261"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public and political resistance to the use of public-private partnerships for secure facilities, electronic monitoring and supervision as alternatives to detention, processing centers and community reentry centers could result in our inability to obtain new contracts or the loss of existing contracts, impact our ability to obtain or refinance debt financing or enter into commercial arrangements, which could have a material adverse effect on our business, financial condition, results of operations and the market price of our securities;</w:t>
      </w:r>
    </w:p>
    <w:p>
      <w:pPr>
        <w:spacing w:after="0" w:line="71"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adverse publicity may negatively impact our ability to retain existing contracts and obtain new contracts;</w:t>
      </w:r>
    </w:p>
    <w:p>
      <w:pPr>
        <w:spacing w:after="0" w:line="117" w:lineRule="exact"/>
        <w:rPr>
          <w:rFonts w:ascii="Times New Roman" w:cs="Times New Roman" w:eastAsia="Times New Roman" w:hAnsi="Times New Roman"/>
          <w:sz w:val="14"/>
          <w:szCs w:val="14"/>
          <w:color w:val="auto"/>
        </w:rPr>
      </w:pPr>
    </w:p>
    <w:p>
      <w:pPr>
        <w:ind w:left="383" w:right="8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may incur significant start-up and operating costs on new contracts before receiving related revenues, which may impact our cash flows and may not be recouped;</w:t>
      </w:r>
    </w:p>
    <w:p>
      <w:pPr>
        <w:spacing w:after="0" w:line="53" w:lineRule="exact"/>
        <w:rPr>
          <w:rFonts w:ascii="Times New Roman" w:cs="Times New Roman" w:eastAsia="Times New Roman" w:hAnsi="Times New Roman"/>
          <w:sz w:val="14"/>
          <w:szCs w:val="14"/>
          <w:color w:val="auto"/>
        </w:rPr>
      </w:pPr>
    </w:p>
    <w:p>
      <w:pPr>
        <w:ind w:left="383" w:right="4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failure to comply with extensive government regulation and applicable contractual requirements could have a material adverse effect on our business, financial condition or results of operations;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may face community opposition to facility locations, which may adversely affect our ability to obtain new contracts;</w:t>
      </w:r>
    </w:p>
    <w:p>
      <w:pPr>
        <w:spacing w:after="0" w:line="117" w:lineRule="exact"/>
        <w:rPr>
          <w:rFonts w:ascii="Times New Roman" w:cs="Times New Roman" w:eastAsia="Times New Roman" w:hAnsi="Times New Roman"/>
          <w:sz w:val="14"/>
          <w:szCs w:val="14"/>
          <w:color w:val="auto"/>
        </w:rPr>
      </w:pPr>
    </w:p>
    <w:p>
      <w:pPr>
        <w:ind w:left="383" w:right="78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business operations expose us to various liabilities for which we may not have adequate insurance, including legal claims and proceedings, and may have a material adverse effect on our business, financial condition or results of operations;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may not be able to obtain or maintain the insurance levels required by our government contracts;</w:t>
      </w:r>
    </w:p>
    <w:p>
      <w:pPr>
        <w:spacing w:after="0" w:line="117"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exposure to rising general insurance costs;</w:t>
      </w:r>
    </w:p>
    <w:p>
      <w:pPr>
        <w:spacing w:after="0" w:line="117" w:lineRule="exact"/>
        <w:rPr>
          <w:rFonts w:ascii="Times New Roman" w:cs="Times New Roman" w:eastAsia="Times New Roman" w:hAnsi="Times New Roman"/>
          <w:sz w:val="14"/>
          <w:szCs w:val="14"/>
          <w:color w:val="auto"/>
        </w:rPr>
      </w:pPr>
    </w:p>
    <w:p>
      <w:pPr>
        <w:ind w:left="383" w:right="20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natural disasters, pandemic outbreaks, global political events and other serious catastrophic events could disrupt operations and otherwise materially adversely affect our business and financial condition;</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international operations expose us to risks that could materially adversely affect our financial condition and results of operations;</w:t>
      </w:r>
    </w:p>
    <w:p>
      <w:pPr>
        <w:spacing w:after="0" w:line="117" w:lineRule="exact"/>
        <w:rPr>
          <w:rFonts w:ascii="Times New Roman" w:cs="Times New Roman" w:eastAsia="Times New Roman" w:hAnsi="Times New Roman"/>
          <w:sz w:val="14"/>
          <w:szCs w:val="14"/>
          <w:color w:val="auto"/>
        </w:rPr>
      </w:pPr>
    </w:p>
    <w:p>
      <w:pPr>
        <w:ind w:left="383"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conduct certain of our operations through joint ventures or consortiums, which may lead to disagreements with our joint venture partners or business partners and adversely affect our interest in the joint ventures or consortiums;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are dependent upon our senior management and our ability to attract and retain sufficient qualified personnel;</w:t>
      </w:r>
    </w:p>
    <w:p>
      <w:pPr>
        <w:spacing w:after="0" w:line="117"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profitability may be materially adversely affected by inflation;</w:t>
      </w:r>
    </w:p>
    <w:p>
      <w:pPr>
        <w:spacing w:after="0" w:line="117" w:lineRule="exact"/>
        <w:rPr>
          <w:rFonts w:ascii="Times New Roman" w:cs="Times New Roman" w:eastAsia="Times New Roman" w:hAnsi="Times New Roman"/>
          <w:sz w:val="14"/>
          <w:szCs w:val="14"/>
          <w:color w:val="auto"/>
        </w:rPr>
      </w:pPr>
    </w:p>
    <w:p>
      <w:pPr>
        <w:ind w:left="383" w:right="64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various risks associated with the ownership of real estate may increase costs, expose us to uninsured losses and adversely affect our financial condition and results of operations;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risks related to facility construction and development activities may increase our costs related to such activities;</w:t>
      </w:r>
    </w:p>
    <w:p>
      <w:pPr>
        <w:spacing w:after="0" w:line="117" w:lineRule="exact"/>
        <w:rPr>
          <w:rFonts w:ascii="Times New Roman" w:cs="Times New Roman" w:eastAsia="Times New Roman" w:hAnsi="Times New Roman"/>
          <w:sz w:val="14"/>
          <w:szCs w:val="14"/>
          <w:color w:val="auto"/>
        </w:rPr>
      </w:pPr>
    </w:p>
    <w:p>
      <w:pPr>
        <w:ind w:left="383" w:right="6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rising cost and increasing difficulty of obtaining adequate levels of surety credit on favorable terms could adversely affect our operating results;</w:t>
      </w:r>
    </w:p>
    <w:p>
      <w:pPr>
        <w:spacing w:after="0" w:line="53" w:lineRule="exact"/>
        <w:rPr>
          <w:rFonts w:ascii="Times New Roman" w:cs="Times New Roman" w:eastAsia="Times New Roman" w:hAnsi="Times New Roman"/>
          <w:sz w:val="14"/>
          <w:szCs w:val="14"/>
          <w:color w:val="auto"/>
        </w:rPr>
      </w:pPr>
    </w:p>
    <w:p>
      <w:pPr>
        <w:ind w:left="383" w:right="76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adverse developments in our relationship with our employees could adversely affect our business, financial condition or results of operations;</w:t>
      </w:r>
    </w:p>
    <w:p>
      <w:pPr>
        <w:spacing w:after="0" w:line="53" w:lineRule="exact"/>
        <w:rPr>
          <w:rFonts w:ascii="Times New Roman" w:cs="Times New Roman" w:eastAsia="Times New Roman" w:hAnsi="Times New Roman"/>
          <w:sz w:val="14"/>
          <w:szCs w:val="14"/>
          <w:color w:val="auto"/>
        </w:rPr>
      </w:pPr>
    </w:p>
    <w:p>
      <w:pPr>
        <w:ind w:left="383" w:hanging="383"/>
        <w:spacing w:after="0"/>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interruption, delay or failure of the provision of our services or information systems could adversely affect our business;</w:t>
      </w:r>
    </w:p>
    <w:p>
      <w:pPr>
        <w:spacing w:after="0" w:line="117" w:lineRule="exact"/>
        <w:rPr>
          <w:rFonts w:ascii="Times New Roman" w:cs="Times New Roman" w:eastAsia="Times New Roman" w:hAnsi="Times New Roman"/>
          <w:sz w:val="14"/>
          <w:szCs w:val="14"/>
          <w:color w:val="auto"/>
        </w:rPr>
      </w:pPr>
    </w:p>
    <w:p>
      <w:pPr>
        <w:ind w:left="383" w:right="320" w:hanging="383"/>
        <w:spacing w:after="0" w:line="282"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failure to comply with data privacy, security and exchange legal requirements could have a material adverse impact on our business, financial position, results of operations, cash flows and reputation;</w:t>
      </w:r>
    </w:p>
    <w:p>
      <w:pPr>
        <w:spacing w:after="0" w:line="53" w:lineRule="exact"/>
        <w:rPr>
          <w:rFonts w:ascii="Times New Roman" w:cs="Times New Roman" w:eastAsia="Times New Roman" w:hAnsi="Times New Roman"/>
          <w:sz w:val="14"/>
          <w:szCs w:val="14"/>
          <w:color w:val="auto"/>
        </w:rPr>
      </w:pPr>
    </w:p>
    <w:p>
      <w:pPr>
        <w:jc w:val="both"/>
        <w:ind w:left="383" w:right="60" w:hanging="383"/>
        <w:spacing w:after="0" w:line="312" w:lineRule="auto"/>
        <w:tabs>
          <w:tab w:leader="none" w:pos="38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 xml:space="preserve">technological changes could cause our electronic monitoring products and technology, including our </w:t>
      </w:r>
      <w:r>
        <w:rPr>
          <w:rFonts w:ascii="Times New Roman" w:cs="Times New Roman" w:eastAsia="Times New Roman" w:hAnsi="Times New Roman"/>
          <w:sz w:val="17"/>
          <w:szCs w:val="17"/>
          <w:color w:val="111111"/>
        </w:rPr>
        <w:t>BI VeriWatch™</w:t>
      </w:r>
      <w:r>
        <w:rPr>
          <w:rFonts w:ascii="Times New Roman" w:cs="Times New Roman" w:eastAsia="Times New Roman" w:hAnsi="Times New Roman"/>
          <w:sz w:val="17"/>
          <w:szCs w:val="17"/>
          <w:color w:val="auto"/>
        </w:rPr>
        <w:t xml:space="preserve"> wrist-worn device, to become obsolete or require the redesign of our electronic monitoring products, which could have a material adverse effect on our business;</w:t>
      </w:r>
    </w:p>
    <w:p>
      <w:pPr>
        <w:spacing w:after="0" w:line="31" w:lineRule="exact"/>
        <w:rPr>
          <w:rFonts w:ascii="Times New Roman" w:cs="Times New Roman" w:eastAsia="Times New Roman" w:hAnsi="Times New Roman"/>
          <w:sz w:val="13"/>
          <w:szCs w:val="13"/>
          <w:color w:val="auto"/>
        </w:rPr>
      </w:pPr>
    </w:p>
    <w:p>
      <w:pPr>
        <w:ind w:left="383" w:right="80" w:hanging="383"/>
        <w:spacing w:after="0" w:line="266"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any negative changes in the level of acceptance of or resistance to the use of electronic monitoring products, including our </w:t>
      </w:r>
      <w:r>
        <w:rPr>
          <w:rFonts w:ascii="Times New Roman" w:cs="Times New Roman" w:eastAsia="Times New Roman" w:hAnsi="Times New Roman"/>
          <w:sz w:val="18"/>
          <w:szCs w:val="18"/>
          <w:color w:val="111111"/>
        </w:rPr>
        <w:t>BI VeriWatch™</w:t>
      </w:r>
      <w:r>
        <w:rPr>
          <w:rFonts w:ascii="Times New Roman" w:cs="Times New Roman" w:eastAsia="Times New Roman" w:hAnsi="Times New Roman"/>
          <w:sz w:val="18"/>
          <w:szCs w:val="18"/>
          <w:color w:val="auto"/>
        </w:rPr>
        <w:t xml:space="preserve"> wrist-worn device, and services by governmental customers could have a material adverse effect on our business, financial condition and results of operations;</w:t>
      </w:r>
    </w:p>
    <w:p>
      <w:pPr>
        <w:spacing w:after="0" w:line="67" w:lineRule="exact"/>
        <w:rPr>
          <w:rFonts w:ascii="Times New Roman" w:cs="Times New Roman" w:eastAsia="Times New Roman" w:hAnsi="Times New Roman"/>
          <w:sz w:val="14"/>
          <w:szCs w:val="14"/>
          <w:color w:val="auto"/>
        </w:rPr>
      </w:pPr>
    </w:p>
    <w:p>
      <w:pPr>
        <w:ind w:left="383" w:right="160" w:hanging="383"/>
        <w:spacing w:after="0" w:line="266" w:lineRule="auto"/>
        <w:tabs>
          <w:tab w:leader="none" w:pos="38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depend on a limited number of third parties to manufacture and supply quality infrastructure components for our electronic monitoring products. If our suppliers cannot provide the components or services we require and with such quality and at such cost as we expect, our ability to market and sell our electronic monitoring products and services could be harmed;</w:t>
      </w:r>
    </w:p>
    <w:p>
      <w:pPr>
        <w:spacing w:after="0" w:line="17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3" w:right="339" w:bottom="1440" w:gutter="0" w:footer="0" w:header="0"/>
        </w:sectPr>
      </w:pPr>
    </w:p>
    <w:bookmarkStart w:id="37" w:name="page38"/>
    <w:bookmarkEnd w:id="37"/>
    <w:p>
      <w:pPr>
        <w:ind w:left="1140" w:right="100" w:hanging="383"/>
        <w:spacing w:after="0" w:line="282"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 inability to acquire, protect or maintain our intellectual property and patents in the electronic monitoring space could harm our ability to compete or grow;</w:t>
      </w:r>
    </w:p>
    <w:p>
      <w:pPr>
        <w:spacing w:after="0" w:line="53" w:lineRule="exact"/>
        <w:rPr>
          <w:rFonts w:ascii="Times New Roman" w:cs="Times New Roman" w:eastAsia="Times New Roman" w:hAnsi="Times New Roman"/>
          <w:sz w:val="14"/>
          <w:szCs w:val="14"/>
          <w:color w:val="auto"/>
        </w:rPr>
      </w:pPr>
    </w:p>
    <w:p>
      <w:pPr>
        <w:ind w:left="1140" w:right="160" w:hanging="383"/>
        <w:spacing w:after="0" w:line="266"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electronic monitoring products could infringe on the intellectual property rights of others, which may lead to litigation that could itself be costly, could result in the payment of substantial damages or royalties, and/or prevent us from using technology that is essential to our products;</w:t>
      </w:r>
    </w:p>
    <w:p>
      <w:pPr>
        <w:spacing w:after="0" w:line="67" w:lineRule="exact"/>
        <w:rPr>
          <w:rFonts w:ascii="Times New Roman" w:cs="Times New Roman" w:eastAsia="Times New Roman" w:hAnsi="Times New Roman"/>
          <w:sz w:val="14"/>
          <w:szCs w:val="14"/>
          <w:color w:val="auto"/>
        </w:rPr>
      </w:pPr>
    </w:p>
    <w:p>
      <w:pPr>
        <w:ind w:left="1140" w:right="140" w:hanging="383"/>
        <w:spacing w:after="0" w:line="266"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license intellectual property rights in the electronic monitoring space, including patents, from third party owners. If such owners do not properly maintain or enforce the intellectual property underlying such licenses, our competitive position and business prospects could be harmed. Our licensors may also seek to terminate our license;</w:t>
      </w:r>
    </w:p>
    <w:p>
      <w:pPr>
        <w:spacing w:after="0" w:line="67" w:lineRule="exact"/>
        <w:rPr>
          <w:rFonts w:ascii="Times New Roman" w:cs="Times New Roman" w:eastAsia="Times New Roman" w:hAnsi="Times New Roman"/>
          <w:sz w:val="14"/>
          <w:szCs w:val="14"/>
          <w:color w:val="auto"/>
        </w:rPr>
      </w:pPr>
    </w:p>
    <w:p>
      <w:pPr>
        <w:jc w:val="both"/>
        <w:ind w:left="1140" w:right="40" w:hanging="383"/>
        <w:spacing w:after="0" w:line="312" w:lineRule="auto"/>
        <w:tabs>
          <w:tab w:leader="none" w:pos="11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31" w:lineRule="exact"/>
        <w:rPr>
          <w:rFonts w:ascii="Times New Roman" w:cs="Times New Roman" w:eastAsia="Times New Roman" w:hAnsi="Times New Roman"/>
          <w:sz w:val="13"/>
          <w:szCs w:val="13"/>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identify suitable acquisitions or dispositions, and to successfully complete such acquisitions or dispositions;</w:t>
      </w:r>
    </w:p>
    <w:p>
      <w:pPr>
        <w:spacing w:after="0" w:line="117" w:lineRule="exact"/>
        <w:rPr>
          <w:rFonts w:ascii="Times New Roman" w:cs="Times New Roman" w:eastAsia="Times New Roman" w:hAnsi="Times New Roman"/>
          <w:sz w:val="14"/>
          <w:szCs w:val="14"/>
          <w:color w:val="auto"/>
        </w:rPr>
      </w:pPr>
    </w:p>
    <w:p>
      <w:pPr>
        <w:ind w:left="1140" w:right="80" w:hanging="383"/>
        <w:spacing w:after="0" w:line="266"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 a result of our acquisitions, we have recorded and will continue to record a significant amount of goodwill and other intangible assets. In the future, our goodwill or other intangible assets may become impaired, which could result in material non-cash charges to our results of operations;</w:t>
      </w:r>
    </w:p>
    <w:p>
      <w:pPr>
        <w:spacing w:after="0" w:line="6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federal, state and local tax rules can adversely affect our results of operations and financial position;</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are subject to risks related to corporate social responsibility;</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market price of our common stock may vary substantially;</w:t>
      </w:r>
    </w:p>
    <w:p>
      <w:pPr>
        <w:spacing w:after="0" w:line="117" w:lineRule="exact"/>
        <w:rPr>
          <w:rFonts w:ascii="Times New Roman" w:cs="Times New Roman" w:eastAsia="Times New Roman" w:hAnsi="Times New Roman"/>
          <w:sz w:val="14"/>
          <w:szCs w:val="14"/>
          <w:color w:val="auto"/>
        </w:rPr>
      </w:pPr>
    </w:p>
    <w:p>
      <w:pPr>
        <w:ind w:left="1140" w:hanging="383"/>
        <w:spacing w:after="0" w:line="282"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expectations about growth in the utilization of detention beds by the federal government may not be realized, which could negatively impact our stock price;</w:t>
      </w:r>
    </w:p>
    <w:p>
      <w:pPr>
        <w:spacing w:after="0" w:line="53" w:lineRule="exact"/>
        <w:rPr>
          <w:rFonts w:ascii="Times New Roman" w:cs="Times New Roman" w:eastAsia="Times New Roman" w:hAnsi="Times New Roman"/>
          <w:sz w:val="14"/>
          <w:szCs w:val="14"/>
          <w:color w:val="auto"/>
        </w:rPr>
      </w:pPr>
    </w:p>
    <w:p>
      <w:pPr>
        <w:ind w:left="1140" w:right="500" w:hanging="383"/>
        <w:spacing w:after="0" w:line="282"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future sales of shares of our common stock or securities convertible into common stock could adversely affect the market price of our common stock and may be dilutive to current shareholders;</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implement the Share Repurchase Program on the anticipated timeline, or at all;</w:t>
      </w:r>
    </w:p>
    <w:p>
      <w:pPr>
        <w:spacing w:after="0" w:line="117" w:lineRule="exact"/>
        <w:rPr>
          <w:rFonts w:ascii="Times New Roman" w:cs="Times New Roman" w:eastAsia="Times New Roman" w:hAnsi="Times New Roman"/>
          <w:sz w:val="14"/>
          <w:szCs w:val="14"/>
          <w:color w:val="auto"/>
        </w:rPr>
      </w:pPr>
    </w:p>
    <w:p>
      <w:pPr>
        <w:ind w:left="1140" w:right="60" w:hanging="383"/>
        <w:spacing w:after="0" w:line="282"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various anti-takeover protections applicable to us may make an acquisition of us more difficult and reduce the market value of our common stock;</w:t>
      </w:r>
    </w:p>
    <w:p>
      <w:pPr>
        <w:spacing w:after="0" w:line="53" w:lineRule="exact"/>
        <w:rPr>
          <w:rFonts w:ascii="Times New Roman" w:cs="Times New Roman" w:eastAsia="Times New Roman" w:hAnsi="Times New Roman"/>
          <w:sz w:val="14"/>
          <w:szCs w:val="14"/>
          <w:color w:val="auto"/>
        </w:rPr>
      </w:pPr>
    </w:p>
    <w:p>
      <w:pPr>
        <w:ind w:left="1140" w:right="380" w:hanging="383"/>
        <w:spacing w:after="0" w:line="282"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failure to maintain effective internal controls in accordance with Section 404 of the Sarbanes-Oxley Act of 2002 could have an adverse effect on our business and the trading price of our common stock;</w:t>
      </w:r>
    </w:p>
    <w:p>
      <w:pPr>
        <w:spacing w:after="0" w:line="53"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may issue additional debt securities that could limit our operating flexibility and negatively affect the value of our common stock;</w:t>
      </w:r>
    </w:p>
    <w:p>
      <w:pPr>
        <w:spacing w:after="0" w:line="117" w:lineRule="exact"/>
        <w:rPr>
          <w:rFonts w:ascii="Times New Roman" w:cs="Times New Roman" w:eastAsia="Times New Roman" w:hAnsi="Times New Roman"/>
          <w:sz w:val="14"/>
          <w:szCs w:val="14"/>
          <w:color w:val="auto"/>
        </w:rPr>
      </w:pPr>
    </w:p>
    <w:p>
      <w:pPr>
        <w:ind w:left="1140" w:hanging="383"/>
        <w:spacing w:after="0"/>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failure to comply with anti-bribery and anti-corruption laws could subject us to penalties and other adverse consequences; and</w:t>
      </w:r>
    </w:p>
    <w:p>
      <w:pPr>
        <w:spacing w:after="0" w:line="117" w:lineRule="exact"/>
        <w:rPr>
          <w:rFonts w:ascii="Times New Roman" w:cs="Times New Roman" w:eastAsia="Times New Roman" w:hAnsi="Times New Roman"/>
          <w:sz w:val="14"/>
          <w:szCs w:val="14"/>
          <w:color w:val="auto"/>
        </w:rPr>
      </w:pPr>
    </w:p>
    <w:p>
      <w:pPr>
        <w:ind w:left="1140" w:right="300" w:hanging="383"/>
        <w:spacing w:after="0" w:line="282" w:lineRule="auto"/>
        <w:tabs>
          <w:tab w:leader="none" w:pos="1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other factors contained in our filings with the SEC, including, but not limited to, those detailed in our Annual Report on Form 10-K, our Quarterly Reports on Form 10-Q and our Current Reports on Form 8-K filed with the SEC.</w:t>
      </w:r>
    </w:p>
    <w:p>
      <w:pPr>
        <w:spacing w:after="0" w:line="2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undertake no obligation to update publicly any forward-looking statements, whether as a result of new information, future events or otherwise, except as required by law. All subsequent written and oral forward-looking statements attributable to us, or persons acting on our behalf, are expressly qualified in their entirety by the cautionary statements included in this Quarterly Report on Form 10-Q.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management believes is relevant to an assessment and understanding of our consolidated results of operations and financial condition. This discussion contains forward-looking statements that involve risks and uncertainties. Our actual results may differ materially from those anticipated in these forward-looking statements as a result of numerous factors including, but not limited to, those described above under “Forward-Looking Information”, and under “Part I - Item 1A. Risk Factors” in our Annual Report on Form 10-K for the year ended December 31, 2024 and under “Part II - Item 1A. Risk Factors” in our Quarterly Report on Form 10-Q for the quarter ended March 31, 2025. This discussion should be read in conjunction with our unaudited consolidated financial statements and notes thereto included in this Quarterly Report on Form 10-Q.</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line="256" w:lineRule="auto"/>
        <w:rPr>
          <w:sz w:val="20"/>
          <w:szCs w:val="20"/>
          <w:color w:val="auto"/>
        </w:rPr>
      </w:pPr>
      <w:r>
        <w:rPr>
          <w:rFonts w:ascii="Times New Roman" w:cs="Times New Roman" w:eastAsia="Times New Roman" w:hAnsi="Times New Roman"/>
          <w:sz w:val="18"/>
          <w:szCs w:val="18"/>
          <w:color w:val="auto"/>
        </w:rPr>
        <w:t>We specialize in the ownership, leasing and management of secure facilities, processing centers and reentry facilities and the provision of community-based services in the United States, Australia and South Africa. We own, lease and operate a broad range of secure facilities including maximum, medium and minimum-security facilities, processing centers, as well as community-based reentry facilities. We develop new facilities based on contract awards, using our project development expertise and experience to design, construct and finance what we believe are state-of-the-art facilities. We provide innovative technologies, industry-leading monitoring services, and evidence-based supervision and treatment programs for community based programs. We also provide secure transportation services domestically and in the United Kingdom through our joint venture GEOAmey.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June 30, 2025, our worldwide operations include the management and/or ownership of approximately 77,000 beds at 98 secure services and community based facilities, including idle facilities, and also include the provision of community supervision services for individuals through an array of technology products including radio frequency, GPS, and alcohol monitoring devices.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diversified scope of services on behalf of our government agency partners:</w:t>
      </w:r>
    </w:p>
    <w:p>
      <w:pPr>
        <w:spacing w:after="0" w:line="117" w:lineRule="exact"/>
        <w:rPr>
          <w:sz w:val="20"/>
          <w:szCs w:val="20"/>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 facility management services involve the provision of security, administrative, rehabilitation, education, and food services at secure services facilities;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reentry services involve supervision of individuals in community-based programs and re-entry centers and the provision of temporary housing, programming, employment assistance and other services with the intention of the successful reintegration of residents into the community;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comprehensive electronic monitoring and supervision services;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new facilities, using our project development experience to design, construct and finance what we believe are state-of-the-art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secure transportation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services are provided at facilities which we either own, lease or are owned by our government agency partners.</w:t>
      </w:r>
    </w:p>
    <w:p>
      <w:pPr>
        <w:spacing w:after="0" w:line="3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and 2024, we had consolidated revenues of $1,241.5 million and $1,212.9 million, respectively. We maintained an average company-wide facility occupancy rate of approximately 89% including 69,793 active beds and excluding 6,785 idle beds, which includes those being marketed to potential customers, for the six months ended June 30, 2025, and approximately 88% including 69,834 active beds and excluding 11,275 idle beds, which includes those being marketed to potential customers, for the six months ended June 30, 2024.</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Reference is made to Part II, Item 7 of our Annual Report on Form 10-K filed with the SEC on February 28, 2025, for further discussion and analysis of information pertaining to our financial condition and results of operations as of and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31, 2025, we entered into a 30-day interim agreement with ICE to extend our ISAP contract through August 31, 2025.</w:t>
      </w:r>
    </w:p>
    <w:p>
      <w:pPr>
        <w:spacing w:after="0" w:line="2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June 16, 2025, we announced that our wholly-owned subsidiary, GEO Transport, Inc. has entered into a new five-year contract, inclusive of option periods, with the U.S. Marshals Service for the provision of secure transportation and contract detention officer services across three service regions covering 26 federal judicial districts and spanning 14 states.</w:t>
      </w:r>
    </w:p>
    <w:p>
      <w:pPr>
        <w:spacing w:after="0" w:line="2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On June 10, 2025, we announced that the U.S. District Court, Central District of California has approved a settlement in the case of </w:t>
      </w:r>
      <w:r>
        <w:rPr>
          <w:rFonts w:ascii="Times New Roman" w:cs="Times New Roman" w:eastAsia="Times New Roman" w:hAnsi="Times New Roman"/>
          <w:sz w:val="18"/>
          <w:szCs w:val="18"/>
          <w:i w:val="1"/>
          <w:iCs w:val="1"/>
          <w:color w:val="auto"/>
        </w:rPr>
        <w:t>Roman v. Wolf</w:t>
      </w:r>
      <w:r>
        <w:rPr>
          <w:rFonts w:ascii="Times New Roman" w:cs="Times New Roman" w:eastAsia="Times New Roman" w:hAnsi="Times New Roman"/>
          <w:sz w:val="18"/>
          <w:szCs w:val="18"/>
          <w:color w:val="auto"/>
        </w:rPr>
        <w:t>, which allows for immediate full intake at our company-owned, 1,940-bed Adelanto ICE Processing Center in California (the "Adelanto Center"). The court had previously issued several injunction orders, including an intake prohibition order issued more than four years ago, limiting the use of the Adelanto Center based on then-prevailing COVID-19 conditions. ICE and GEO entered into a 15-year contract on December 19, 2019, for the provision of secure residential housing and support services at the Adelanto Center, consisting of a five-year base period followed by two five-year option periods. The current contract option period is effective through December 19, 2029.</w:t>
      </w:r>
    </w:p>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June 9, 2025, we announced that we have entered into a contract modification with ICE, effective June 6, 2025, to activate a federal immigration processing center at our company-owned, 1,868-bed, D. Ray James Facility in Folkston, Georgia under the existing intergovernmental service agreement involving the company-owned, 1,118-bed Folkston ICE Processing Center. Our support services will include the exclusive use of this federal facility by ICE, along with security, maintenance, and food services, as well as access to recreational amenities, medical care, and legal counsel.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2025, we entered into a Sale Agreement to sell our 2,388-bed Lawton Correctional Facility located in Lawton, Oklahoma for a sale price of</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$312 million. The Sale Agreement also contained certain customary representations, warranties and covenants that the parties made to each other. The sale closed on July 25, 2025 and we transitioned facility operations to the Oklahoma Department of Corrections simultaneously on July 25, 2025.</w:t>
      </w:r>
    </w:p>
    <w:p>
      <w:pPr>
        <w:spacing w:after="0" w:line="3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 to Note 15 - Subsequent Events of the Notes to Unaudited Consolidated Financial Statements included in Part I, Item 1 of this Quarterly Report on Form 10-Q for further discussion.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July 1, 2025, we announced that we had entered into a purchase agreement to acquire the 770-bed Western Region Detention Facility located in San Diego, California for approximately $60 million. We previously leased the Western Region Detention Facility for approximately $5.1 million annually under a lease agreement that was scheduled to expire on March 31, 2029. We have a contract with the U.S. Marshals Service for the exclusive use of the Western Region Detention Facility.</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purchase of the Western Region Detention Facility closed on July 31, 2025 and was funded as a like kind real estate property exchange with proceeds from the sale of the Lawton Correctional Facility, which closed on July 25, 2025 as discussed above, resulting in an estimated capital gains cash tax savings of approximately $9.3 million.</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Following the closing of the sale of the Lawton Correctional Facility and the purchase of the Western Region Detention Facility, we had approximately $222 million in net proceeds. We used the net proceeds, along with cash on hand and available liquidity, to pay off senior secured debt, including approximately $300 million in floating rate debt.</w:t>
      </w:r>
    </w:p>
    <w:p>
      <w:pPr>
        <w:spacing w:after="0" w:line="25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 to Note 15 - Subsequent Events of the Notes to Unaudited Consolidated Financial Statements included in Part I, Item 1 of this Quarterly Report on Form 10-Q for further discussion.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conduct our business through four reportable business segments: our U.S. Secure Services segment; our Electronic Monitoring and Supervision Services segment; our Reentry Services segment and our International Services segment. We have identified these four reportable segments to reflect our current view that we operate four distinct business lines, each of which constitutes a material part of our overall business.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U.S. Secure Services segment primarily encompasses our U.S.-based public-private partnership secure services business. Our Electronic Monitoring and Supervision Services segment, which conducts its services in the U.S., consists of our electronic monitoring and supervision services. Our Reentry Services segment consists of various community-based and reentry services. Our International Services segment primarily consists of our public-private partnership secure services operations in Australia and South Africa.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Idle Facilities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currently marketing (or awaiting activation) 6,785 vacant beds at nine idle facilities to potential customers. The carrying values of these idle facilities totaled $186.1 million as of June 30, 2025, excluding equipment and other assets that can be easily transferred for use at other facilities. Refer to Note 11 - Commitments, Contingencies and Other Matters of the Notes to Unaudited Consolidated Financial Statements included in Part I, Item 1 of this Quarterly Report on Form 10-Q for further discussion.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in conformity with accounting principles generally accepted in the United States. As such, we are required to make certain estimates, judgments and assumptions that we believe are reasonable based upon the information available. These estimates and assumptions affect the reported amounts of assets and liabilities as of the date of the financial statements and the reported amounts of revenue and expenses during the reporting period. We routinely evaluate our estimates based on historical experience and on various other assumptions that management believes are reasonable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ind w:right="120"/>
        <w:spacing w:after="0" w:line="271" w:lineRule="auto"/>
        <w:rPr>
          <w:sz w:val="20"/>
          <w:szCs w:val="20"/>
          <w:color w:val="auto"/>
        </w:rPr>
      </w:pPr>
      <w:r>
        <w:rPr>
          <w:rFonts w:ascii="Times New Roman" w:cs="Times New Roman" w:eastAsia="Times New Roman" w:hAnsi="Times New Roman"/>
          <w:sz w:val="18"/>
          <w:szCs w:val="18"/>
          <w:color w:val="auto"/>
        </w:rPr>
        <w:t>under the circumstances. Actual results may differ from these estimates under different assumptions or conditions. During the six months ended June 30, 2025, we did not experience any significant changes in estimates or judgments inherent in the preparation of our consolidated financial statements. A summary of our significant accounting policies is contained in Note 1 to our consolidated financial statements included in our Annual Report on Form 10-K for the year ended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consolidated financial statements and the notes to our unaudited consolidated financial statements included in Part I, Item 1, of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Second Quarter 2025 and Second Quarter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441,665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402,097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39,568</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16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78,925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84,745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71,310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68,960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2,350</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51,383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636,169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607,185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28,984</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-25400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Revenues for U.S. Secure Services increased by $39.6 million in the second quarter ended June 30, 2025 (the "Second Quarter 2025") compared to the second quarter ended June 30, 2024 (the "Second Quarter 2024") due to increases of $17.5 million related to the activations of our new contracts at our company-owned Delaney Hall, North Lake and D. Ray James facilities and aggregate net increases of $28.4 million due to increases in occupancies, rates and/or per diem amounts in connection with contract modifications. Partially offsetting these increases were decreases of approximately $6.3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contract terminations.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number of compensated mandays in U.S. Secure Services facilities was approximately 4.2 million in Second Quarter 2025 compared to approximately 4.3 million in Second Quarter 2024. We look at the average occupancy in our facilities to determine how we are managing our available beds. The average occupancy is calculated by taking compensated mandays as a percentage of capacity. The average occupancy in our U.S. Secure Services facilities was approximately 88% of capacity in Second Quarter 2025 and Second Quarter 2024, excluding idle facilities.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Revenues for Electronic Monitoring and Supervision Services decreased by $5.8 million in Second Quarter 2025 compared to Second Quarter 2024 primarily due to decreases in average participant counts under the Intensive Supervision and Appearance Program ("ISAP").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Revenues for Reentry Services increased by $2.4 million in Second Quarter 2025 compared to Second Quarter 2024 primarily due to aggregate net increases of $3.6 million related to increased census levels at certain of our community-based and reentry centers due to increased programming needs and referrals due to new day reporting center contracts. These increases were partially offset by decreases due to contract terminations of $1.2 million.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Revenues for International Services decreased by $7.1 million in Second Quarter 2025 compared to Second Quarter 2024. We experienced a net decrease of $8.1 million primarily due to the transition of our managed-only contract for the Junee Correctional Centre in Australia to the government effective March 31, 2025. Partially offsetting this decrease was an increase due to foreign exchange rate fluctuations of $1.0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342,305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301,153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41,152</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16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40,216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52,242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53,501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40,548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48,659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475,218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443,529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31,689</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expenses for U.S. Secure Services increased by $41.2 million in Second Quarter 2025 compared to Second Quarter 2024 primarily due to aggregate net increases in connection with labor and medical costs, transportation services, increased occupancies and additional staffing and training costs we continue to incur in preparation of expected future growth of $35.4 million. We also experienced an increase of approximately $13.0 million related to the activations of our new contracts at our company-owned Delaney Hall, North Lake and D. Ray James facilities. Partially offsetting these increases were decreases of approximately $7.2 million related to contract terminations.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Operating expenses for Electronic Monitoring and Supervision Services decreased slightly in Second Quarter 2025 compared to Second Quarter 2024 primarily due to decreases in variable costs related to decreases in average participant counts under ISAP.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expenses for Reentry Services decreased by $1.3 million during Second Quarter 2025 compared to Second Quarter 2024 primarily due to aggregate net decreases of $0.6 million related to decreased census levels at certain of our community-based and reentry centers and the associated variable costs. We also experienced a decrease of $0.7 million due to contract terminations.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expenses for International Services decreased in Second Quarter 2025 compared to Second Quarter 2024 by $8.1 million. We experienced a net decrease of $7.2 million primarily due to the transition of our managed-only contract for the Junee Correctional Centre in Australia to the government effective March 31, 2025. We also experienced a decrease of $0.9 million related to foreign exchange rate fluctuations.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22,444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21,175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1,269</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3,427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3,304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32,732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31,313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1,419</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29"/>
        </w:trPr>
        <w:tc>
          <w:tcPr>
            <w:tcW w:w="41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20" w:type="dxa"/>
            <w:vAlign w:val="bottom"/>
            <w:tcBorders>
              <w:top w:val="single" w:sz="8" w:color="CFF0FC"/>
            </w:tcBorders>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-933450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-916305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-933450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-916305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-933450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-916305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U.S. Secure Services depreciation and amortization expense increased in Second Quarter 2025 compared to Second Quarter 2024 primarily due to renovations at certain of our company-owned and leased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Electronic Monitoring and Supervision Services depreciation and amortization expense was relatively consistent in Second Quarter 2025 compared to Second Quarter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Reentry Services depreciation and amortization expense increased slightly in Second Quarter 2025 compared to Second Quarter 2024 primarily due to renovations at certain of our company-owned centers.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Services depreciation and amortization expense was relatively consistent in Second Quarter 2025 compared to Second Quarter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(Dollars in</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56,246</w:t>
            </w:r>
          </w:p>
        </w:tc>
        <w:tc>
          <w:tcPr>
            <w:tcW w:w="15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  $</w:t>
            </w:r>
          </w:p>
        </w:tc>
        <w:tc>
          <w:tcPr>
            <w:tcW w:w="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52,198</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  $</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4,048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$4.0 million in Second Quarter 2025 compared to Second Quarter 2024 primarily due to an increase in stock-based compensation expense of $2.4 million with the remaining increase related to increases in business development, consulting and other administrative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2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2,466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1,992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474</w:t>
            </w:r>
          </w:p>
        </w:tc>
        <w:tc>
          <w:tcPr>
            <w:tcW w:w="1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23.8%</w:t>
            </w: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41,907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50,644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Interest income increased by $0.5 million in Second Quarter 2025 compared to Second Quarter 2024 primarily due to higher cash balances on hand domestically and internationally and the effect of foreign exchange rates.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expense decreased by $8.7 million in Second Quarter 2025 compared to Second Quarter 2024 primarily due to our Senior Notes Offering and new Term Loan under our new credit agreement that closed on April 18, 2024 which resulted in overall lower interest expense due to lower interest rates. We also retired the majority of our 6.50% Exchangeable Senior Notes due 2026 during 2024 and had lower overall principal balances compared to Second Quarter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3"/>
                <w:szCs w:val="13"/>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595</w:t>
            </w:r>
          </w:p>
        </w:tc>
        <w:tc>
          <w:tcPr>
            <w:tcW w:w="15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82,339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(81,744)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r>
    </w:tbl>
    <w:p>
      <w:pPr>
        <w:spacing w:after="0" w:line="1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Second Quarter 2025, we made a mandatory quarterly payment on our Term Loan. In connection with the repayment, we wrote off the related deferred loan costs. During Second Quarter 2024, we completed a Senior Note Offering which resulted in a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3" w:name="page44"/>
    <w:bookmarkEnd w:id="43"/>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extinguishment of debt of approximately $82.3 million which consisted of the write-off of existing deferred financing costs and net discounts/premiums and the payment of call premiums. Refer to Note 10 - Debt of the Notes to Unaudited Consolidated Financial Statements in Part I, Item 1 of this Quarterly Report on Form 10Q for further discussion.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5,514</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Second Quarter 2025, we received an aggregate of $5.5 million under the Employee Retention Tax Credit provisions of the CARES Act. This amount was recognized as other income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Asset Divestitures/Impairment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on Asset Divestitures/Impairment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5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(2,907)</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Second Quarter 2024, we experienced an impairment loss of approximately $2.3 million related to two of our Company-owned facilities. We also donated a parcel of undeveloped land in Kern County, California which resulted in a loss on asset divestiture of approximately $0.6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3"/>
                <w:szCs w:val="13"/>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5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4"/>
              </w:rPr>
              <w:t>(Dollars in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10,554</w:t>
            </w:r>
          </w:p>
        </w:tc>
        <w:tc>
          <w:tcPr>
            <w:tcW w:w="148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28.2%  $</w:t>
            </w:r>
          </w:p>
        </w:tc>
        <w:tc>
          <w:tcPr>
            <w:tcW w:w="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(20,379)</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37.9%  $</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30,933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provision for income taxes increased and the effective tax rate decreased in Second Quarter 2025 compared to Second Quarter 2024 principally due to pre-tax income compared to pre-tax losses, respectively. In Second Quarter 2025, there was a $0.3 million net discrete tax benefit as compared to a $4.5 million net discrete tax benefit in Second Quarter 2024. Included in the tax provision for income taxes in Second Quarter 2025 was a $0.3 million discrete tax benefit as compared to a $0.1 million discrete tax benefit in Second Quarter 2024 related to stock compensation that vested during the respective periods. Also included in the net discrete tax benefit in the Second Quarter 2024 was a $3.4 million discrete tax benefit from the interest deduction related to GEO shares provided to the holders of our 6.5% Exchangeable Senior Notes due 2026. We estimate our 2025 annual effective tax rate to be in the range of approximately 28% to 30%, exclusive of any discrete items.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related to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for the year ending December 31, 2025 while others are effective starting after this date. We are currently assessing OBBBA's impact on our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Affiliates, net of Income Tax Provision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2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194"/>
        </w:trPr>
        <w:tc>
          <w:tcPr>
            <w:tcW w:w="42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in Earnings of Affiliates, net of Income Tax</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3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2,177</w:t>
            </w:r>
          </w:p>
        </w:tc>
        <w:tc>
          <w:tcPr>
            <w:tcW w:w="150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  $</w:t>
            </w:r>
          </w:p>
        </w:tc>
        <w:tc>
          <w:tcPr>
            <w:tcW w:w="7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811</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1,366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Equity in earnings of affiliates, presented net of income tax provision, represents the earnings of SACS and GEOAmey in the aggregate. Equity in earnings of affiliates increased during Second Quarter 2025 compared to Second Quarter 2024 primarily due to favorable performance at SACS.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2025 and Six Months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40" w:type="dxa"/>
            <w:vAlign w:val="bottom"/>
          </w:tcPr>
          <w:p>
            <w:pPr>
              <w:spacing w:after="0"/>
              <w:rPr>
                <w:sz w:val="13"/>
                <w:szCs w:val="13"/>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847,381</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803,037</w:t>
            </w:r>
          </w:p>
        </w:tc>
        <w:tc>
          <w:tcPr>
            <w:tcW w:w="14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44,344</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156,638</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171,529</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141,686</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136,790</w:t>
            </w:r>
          </w:p>
        </w:tc>
        <w:tc>
          <w:tcPr>
            <w:tcW w:w="14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101,501</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1"/>
        </w:trPr>
        <w:tc>
          <w:tcPr>
            <w:tcW w:w="41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1,212,85</w:t>
            </w:r>
          </w:p>
        </w:tc>
        <w:tc>
          <w:tcPr>
            <w:tcW w:w="2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1,241,513</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9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Revenues for U.S. Secure Services increased by $44.3 million in the six months ended June 30, 2025 (the "Six Months 2025") compared to the six months ended June 30, 2024 (the "Six Months 2024") due to aggregate net increases of $20.2 million related to the activations of our new contracts at our company-owned Delaney Hall, North Lake and D. Ray James facilities. We also experienced an aggregate net increase of $37.8 million due to increases in occupancies, rates and/or per diem amounts in connection with contract modifications. Partially offsetting these increases were decreases of approximately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 million related to contract terminations.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number of compensated mandays in U.S. Secure Services facilities was approximately 8.3 million in Six Months 2025 compared to approximately 8.5 million in Six Months 2024. We look at the average occupancy in our facilities to determine how we are managing our available beds. The average occupancy is calculated by taking compensated mandays as a percentage of capacity. The average occupancy in our U.S. Secure Services facilities was approximately 88% of capacity in Six Months 2025 and Six Months 2024, excluding idle facilities.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Revenues for Electronic Monitoring and Supervision Services decreased by $14.9 million in Six Months 2025 compared to Six Months 2024 primarily due to decreases in average participant counts under the Intensive Supervision and Appearance Program ("ISAP").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Reentry Services increased by $4.9 million in Six Months 2025 compared to Six Months 2024 primarily due to aggregate net increases of</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$7.4 million related to increased census levels at certain of our community-based and reentry centers due to increased programming needs and referrals due to new day reporting center contracts. These increases were partially offset by decreases due to contract terminations of $2.5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Revenues for International Services decreased by $5.7 million in Six Months 2025 compared to Six Months 2024. We experienced a net decrease of $8.8 million primarily due to the transition of our managed-only contract for the Junee Correctional Centre in Australia to the government effective March 31, 2025. Partially offsetting this decrease was an increase due to foreign exchange rate fluctuations of $3.1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60" w:type="dxa"/>
            <w:vAlign w:val="bottom"/>
          </w:tcPr>
          <w:p>
            <w:pPr>
              <w:spacing w:after="0"/>
              <w:rPr>
                <w:sz w:val="13"/>
                <w:szCs w:val="13"/>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656,515</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602,285</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54,230</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81,985</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82,303</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104,074</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87,119</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95,663</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929,693</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885,204</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44,489</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28"/>
        </w:trPr>
        <w:tc>
          <w:tcPr>
            <w:tcW w:w="45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140" w:type="dxa"/>
            <w:vAlign w:val="bottom"/>
            <w:tcBorders>
              <w:top w:val="single" w:sz="8" w:color="CFF0FC"/>
            </w:tcBorders>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-933450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-916305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-933450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-916305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-933450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Operating expenses for U.S. Secure Services increased by $54.2 million in Six Months 2025 compared to Six Months 2024 primarily due to aggregate net increases in connection with labor and medical costs, transportation services, increased occupancies and additional staffing and training costs we continue to incur in preparation of expected future growth of $54.2 million. We also experienced an increase of approximately $14.8 million related to the activations of our new contracts at our company-owned Delaney Hall, North Lake and D. Ray James facilities. Partially offsetting these increases were decreases of approximately $14.8 million related to contract terminations.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expenses for Electronic Monitoring and Supervision Services decreased slightly in Six Months 2025 compared to Six Months 2024 primarily due to decreases in variable costs related to decreases in average participant counts under ISAP.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expenses for Reentry Services decreased by $0.9 million during Six Months 2025 compared to Six Months 2024 primarily due to an aggregate net decrease of $2.8 million due to contract terminations. Partially offsetting this decrease were aggregate net increases of $1.9 million related to increased census levels at certain of our community-based and reentry centers and the associated variable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expenses for International Services decreased in Six Months 2025 compared to Six Months 2024 by $8.5 million. We experienced a net decrease of $5.7 million primarily due to the transition of our managed-only contract for the Junee Correctional Centre in Australia to the government effective March 31, 2025. We also experienced a decrease of $2.8 million related to foreign exchange rate fluctuations.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8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Segment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Secure 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44,719</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41,742</w:t>
            </w:r>
          </w:p>
        </w:tc>
        <w:tc>
          <w:tcPr>
            <w:tcW w:w="14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Monitoring and Supervision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Reentry Services</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4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64,868</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144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Secure Services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U.S. Secure Services depreciation and amortization expense increased in Six Months 2025 compared to Six Months 2024 primarily due to renovations at certain of our company-owned and leased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Monitoring and Supervision Services</w:t>
      </w:r>
    </w:p>
    <w:p>
      <w:pPr>
        <w:spacing w:after="0" w:line="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Electronic Monitoring and Supervision Services depreciation and amortization expense decreased in Six Months 2025 compared to Six Months 2024 primarily due to certain assets becoming fully depreciated and/or amortized.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Reentry Services</w:t>
      </w:r>
    </w:p>
    <w:p>
      <w:pPr>
        <w:spacing w:after="0" w:line="9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Reentry Services depreciation and amortization expense decreased slightly in Six Months 2025 compared to Six Months 2024 primarily due to certain assets becoming fully depreciated and/or amortized as well as certain asset dispositions at our company-owned centers.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Services</w:t>
      </w:r>
    </w:p>
    <w:p>
      <w:pPr>
        <w:spacing w:after="0" w:line="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International Services depreciation and amortization expense slightly decreased in Six Months 2025 compared to Six Months 2024 primarily due to certain assets becoming fully depreciated and/or amortized.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3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tcBorders>
              <w:top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113,995</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105,268</w:t>
            </w: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bl>
    <w:p>
      <w:pPr>
        <w:spacing w:after="0" w:line="19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comprise substantially all of our other unallocated operating expenses which primarily includes, corporate management salaries and benefits, professional fees and other administrative expenses. General and administrative expenses increased by $8.7 million in Six Months 2025 compared to Six Months 2024 primarily due to an increase in stock-based compensation expense of $3.2 million with the remaining increase related to increases in business development, consulting and other administrative expenses.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60" w:type="dxa"/>
            <w:vAlign w:val="bottom"/>
          </w:tcPr>
          <w:p>
            <w:pPr>
              <w:spacing w:after="0"/>
              <w:rPr>
                <w:sz w:val="15"/>
                <w:szCs w:val="15"/>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(17,591)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income decreased slightly in Six Months 2025 compared to Six Months 2024 primarily due to lower cash balances on hand domestically and internationally and the effect of foreign exchange rates.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Interest expense decreased by $17.6 million in Six Months 2025 compared to Six Months 2024 primarily due to our Senior Notes Offering and new Term Loan under our new credit agreement that closed on April 18, 2024 which resulted in overall lower interest expense due to lower interest rates. We also retired the majority of our 6.50% Exchangeable Senior Notes due 2026 during 2024 and had lower overall principal balances compared to Six Months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6"/>
              </w:rPr>
              <w:t>82,378</w:t>
            </w:r>
          </w:p>
        </w:tc>
        <w:tc>
          <w:tcPr>
            <w:tcW w:w="1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(81,783)</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Six Months 2025, we made a mandatory quarterly payment on our Term Loan. In connection with the repayment, we wrote off the related deferred loan costs. During Six Months 2024, we completed a Senior Note Offering which resulted in a loss on extinguishment of debt of approximately $82.4 million which consisted of the write-off of existing deferred financing costs and net discounts/premiums and the payment of call premiums. Refer to Note 10 - Debt of the Notes to Unaudited Consolidated Financial Statements in Part I, Item 1 of this Quarterly Report on Form 10Q for further discussion.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5,514</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Six Months 2025, we received an aggregate of $5.5 million under the Employee Retention Tax Credit provisions of the CARES Act. This amount was recognized as other income in the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Asset Divestitures/Impairment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on Asset Divestitures/Impairment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5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(2,907)</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48"/>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ind w:right="460"/>
        <w:spacing w:after="0" w:line="282" w:lineRule="auto"/>
        <w:rPr>
          <w:sz w:val="20"/>
          <w:szCs w:val="20"/>
          <w:color w:val="auto"/>
        </w:rPr>
      </w:pPr>
      <w:r>
        <w:rPr>
          <w:rFonts w:ascii="Times New Roman" w:cs="Times New Roman" w:eastAsia="Times New Roman" w:hAnsi="Times New Roman"/>
          <w:sz w:val="18"/>
          <w:szCs w:val="18"/>
          <w:color w:val="auto"/>
        </w:rPr>
        <w:t>During Six Months 2024, we experienced an impairment loss of approximately $2.3 million related to two of our Company-owned facilities. We also donated a parcel of undeveloped land in Kern County, California which resulted in a loss on asset divestiture of approximately $0.6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(Dollars</w:t>
            </w:r>
          </w:p>
        </w:tc>
        <w:tc>
          <w:tcPr>
            <w:tcW w:w="22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12,380</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  $</w:t>
            </w:r>
          </w:p>
        </w:tc>
        <w:tc>
          <w:tcPr>
            <w:tcW w:w="8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(12,308)</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53.4%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provision for income taxes increased and the effective tax rate decreased in Six Months 2025 compared to Six Months 2024 principally due to pre-tax income compared to pre-tax losses, respectively. In Six Months 2025, there was a $4.5 million net discrete tax benefit as compared to a $5.1 million net discrete tax benefit in Six Months 2024. Included in the tax provision for income taxes in Six Months 2025 was a $4.5 million discrete tax benefit as compared to a $1.0 million discrete tax benefit in Six Months 2024 related to stock compensation that vested during the respective periods. Also included in the net discrete tax benefit in the Six Months 2024 was a $3.4 million discrete tax benefit from the interest deduction related to GEO shares provided to the holders of our 6.5% Exchangeable Senior Notes due 2026. We estimate our 2025 annual effective tax rate to be in the range of approximately 28% to 30%, exclusive of any discrete items.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4, 2025, the OBBBA was enacted in the U.S. The OBBBA includes provisions related to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for the year ending December 31, 2025 while others are effective starting after this date. We are currently assessing OBBBA's impact on our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Affiliates, net of Income Tax Provision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22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2"/>
                <w:szCs w:val="12"/>
                <w:color w:val="auto"/>
              </w:rPr>
            </w:pPr>
          </w:p>
        </w:tc>
        <w:tc>
          <w:tcPr>
            <w:tcW w:w="92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Equity in Earnings of Affiliates, net of Income Tax</w:t>
            </w:r>
          </w:p>
        </w:tc>
        <w:tc>
          <w:tcPr>
            <w:tcW w:w="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6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5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Equity in earnings of affiliates, presented net of income tax provision, represents the earnings of SACS and GEOAmey in the aggregate. Equity in earnings of affiliates increased during Six Months 2025 compared to Six Months 2024 primarily due to favorable performance at SACS.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current cash requirements consist of amounts needed for working capital, debt service, supply purchases, research and development costs related to new electronic monitoring products, investments in joint ventures, and capital expenditures related to either the development of new secure, processing and reentry facilities, or the maintenance of existing facilities. In addition, some of our management contracts require us to make substantial initial expenditures of cash in connection with opening or renovating a facility. Generally, these initial expenditures are subsequently fully or partially recoverable as pass-through costs or are billable as a component of the per diem rates or monthly fixed fees to the contracting agency over the original term of the contract. Additional capital needs may also arise in the future with respect to possible acquisitions, other corporate transactions or other corporate purposes.</w:t>
      </w:r>
    </w:p>
    <w:p>
      <w:pPr>
        <w:spacing w:after="0" w:line="13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We currently have contractual commitments for a number of projects using Company financing. We estimate that the cost of these existing active capital projects will be approximately $54.1 million of which $35.9 million was spent through June 30, 2025. We estimate that the remaining capital requirements related to these capital projects will be $18.2 million which will be spent through the remainder of 2025.</w:t>
      </w:r>
    </w:p>
    <w:p>
      <w:pPr>
        <w:spacing w:after="0" w:line="16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plan to fund all of our capital needs, including capital expenditures, from cash on hand, cash from operations, borrowings under our Credit Agreement (as defined below) and any other financings which our management and Board, in their discretion, may consummate. Currently, our primary source of liquidity to meet these requirements is cash flow from operations and borrowings 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ind w:right="60"/>
        <w:spacing w:after="0" w:line="256" w:lineRule="auto"/>
        <w:rPr>
          <w:sz w:val="20"/>
          <w:szCs w:val="20"/>
          <w:color w:val="auto"/>
        </w:rPr>
      </w:pPr>
      <w:r>
        <w:rPr>
          <w:rFonts w:ascii="Times New Roman" w:cs="Times New Roman" w:eastAsia="Times New Roman" w:hAnsi="Times New Roman"/>
          <w:sz w:val="18"/>
          <w:szCs w:val="18"/>
          <w:color w:val="auto"/>
        </w:rPr>
        <w:t>our Credit Agreement. Our management believes that our financial resources and sources of liquidity will allow us to manage our business, financial condition, results of operations and cash flows. We completed our annual budgeting process, and for 2025, we will continue to strategically manage our capital expenditures to maintain both short and long term financial objectives. Additionally, we may from time to time pursue transactions for the potential sale or acquisition of assets and businesses and/or other strategic transactions. Our management believes that cash on hand, cash flows from operations and availability under our Credit Agreement will be adequate to support our capital requirements for 2025 as disclosed under “Capital Requirements” above and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Offering and Credit Agreement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18, 2024, we announced the closing of our private offering of $1.275 billion aggregate principal amount of senior notes, comprised of $650.0 million aggregate principal amount of 8.625% senior secured notes due 2029 and $625.0 million aggregate principal amount of 10.250% senior notes due 2031.</w:t>
      </w:r>
    </w:p>
    <w:p>
      <w:pPr>
        <w:spacing w:after="0" w:line="17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We also entered into a credit agreement, dated April 18, 2024 (the "Credit Agreement") to, among other things, evidence and govern a first-lien senior secured revolving credit facility and the commitments thereunder, and a first-lien senior secured term loan facility. As of June 30, 2025, the aggregate principal amount of revolving credit commitments under the senior revolving credit facility was $310 million (including a $175 million letter of credit subfacility) and the aggregate principal amount of the senior secured term loan facility was $450.0 million.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used the net proceeds of the senior notes offering, borrowings under the new term loan, and cash on hand to refinance approximately $1.5 billion of existing indebtedness, including to fund the repurchase, redemption or other discharge of our existing Tranche 1 Term Loan and Tranche 2 Term Loan under our prior senior credit facility, the 9.50% senior second lien secured notes due 2028, the 10.50% senior second lien secured notes due 2028, and the 6.00% senior notes due 2026, to pay related premiums, transaction fees and expenses, and for general corporate purposes of the Company.</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 these transactions, as well as the private exchange transactions involving our 6.50% Exchangeable Notes due 2026 discussed below, we have been able to push out substantially all of our debt maturities to 2029 and 2031.</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 to Note 10 - Debt of the Notes to Unaudited Consolidated Financial Statements included in Part I, Item 1 of this Quarterly Report on Form 10-Q for further information.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14, 2025 we amended our Credit Agreement dated as of April 18, 2024 which increased the Company's revolving credit commitments from $310 million to $450 million and extended the Revolver’s maturity to July 14, 2030. The amendment also lowered the applicable interest rates based on the total leverage ratio for loans using the Alternate Base Rate and loans using the Secured Overnight Financing Rate (“SOFR”) by 0.50%. Refer to Note 15 - Subsequent Events of the Notes to Unaudited Consolidated Financial Statements included in Part I, Item 1 of this Quarterly Report on Form 10-Q for further information.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6.50% Exchangeable Senior Notes due 2026</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February 24, 2021, our wholly owned subsidiary, GEOCH, completed a private offering of $230 million aggregate principal amount of 6.50% Exchangeable Senior Notes due 2026. The Convertible Notes were to mature on February 23, 2026, unless earlier repurchased or exchanged. The Convertible Notes bore interest at the rate of 6.50% per year plus an additional amount based on the dividends paid by GEO on its common stock. Interest on the Convertible Notes was payable semi-annually in arrears on March 1 and September 1 of each year, beginning on September 1, 2021.</w:t>
      </w:r>
    </w:p>
    <w:p>
      <w:pPr>
        <w:spacing w:after="0" w:line="3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conversion, we were to pay or deliver, as the case may be, cash or a combination of cash and shares of common stock. The initial conversion rate was 108.4011 shares of common stock per $1,000 principal amount of Convertible Notes (equivalent to an initial conversion price of approximately $9.225 per share of common stock). The conversion rate was subject to adjustment in certain events. If GEO or GEOCH had undergone a fundamental change, holders may have required GEOCH to purchase the Convertible Notes in whole or in part for cash at a fundamental change purchase price equal to 100% of the principal amount of the Convertible Notes to be purchased, plus accrued and unpaid interest, if any, to, but excluding, the fundamental change purchase date.</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2024, the Company exchanged approximately $229.9 million of aggregate principal amount of its outstanding 6.50% Exchangeable Senior Notes in private exchange transactions for an exchange value of approximately $410 million. The consideration consisted of cash and shares of GEO common stock. During the first quarter of 2025, we retired the remaining principal balance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60"/>
        <w:spacing w:after="0" w:line="282" w:lineRule="auto"/>
        <w:rPr>
          <w:sz w:val="20"/>
          <w:szCs w:val="20"/>
          <w:color w:val="auto"/>
        </w:rPr>
      </w:pPr>
      <w:r>
        <w:rPr>
          <w:rFonts w:ascii="Times New Roman" w:cs="Times New Roman" w:eastAsia="Times New Roman" w:hAnsi="Times New Roman"/>
          <w:sz w:val="18"/>
          <w:szCs w:val="18"/>
          <w:color w:val="auto"/>
        </w:rPr>
        <w:t>Convertible Notes. Refer to Note 10 - Debt of the Notes to Unaudited Consolidated Financial Statements included in Part I, Item 1 of this Quarterly Report on Form 10-Q for further information.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debt outstanding under the Credit Agreement, the Secured Notes and the Unsecured Notes require cash expenditures for debt service. Our significant debt obligations could have material consequences. See “Risk Factors-Risks Related to Our High Level of Indebtedness” in Item 1A of our Annual Report on Form 10-K for the year ended December 31, 2024. We are exposed to various commitments and contingencies which may have a material adverse effect on our liquidity. We also have guaranteed certain obligations for certain of our international subsidiaries. These commitments, contingencies and guarantees are further discussed in our Annual Report on Form 10-K for the year ended December 31, 2024.</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 to Note 10 - Debt of the Notes to Unaudited Consolidated Financial Statements included in Part I, Item 1 of this Quarterly Report on Form 10-Q for further information on our indebtedness.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consider opportunities for future business and/or asset acquisitions or dispositions as we deem appropriate when market conditions present opportunities. If we are successful in our pursuit of any new projects, our cash on hand, cash flows from operations and borrowings under the new Credit Agreement may not provide sufficient liquidity to meet our capital needs and we could be forced to seek additional financing or refinance our existing indebtedness. There can be no assurance that any such financing or refinancing would be available to us on terms equal to or more favorable than our current financing terms, or at all. In the future, our access to capital and ability to compete for future capital-intensive projects will also be dependent upon, among other things, our ability to meet certain financial covenants in the indenture governing the Secured Notes, the indenture governing the Unsecured Notes, the indenture governing our Convertible Notes and our Credit Agreement. A substantial decline in our financial performance could limit our access to capital pursuant to these covenants and have a material adverse effect on our liquidity and capital resources and, as a result, on our financial condition and results of operations. In addition to these foregoing potential constraints on our capital, a number of state government agencies have been suffering from budget deficits and liquidity issues. While we were in compliance with our debt covenants as of June 30, 2025 and we expect to continue to be in compliance with our debt covenants, if these constraints were to intensify, our liquidity could be materially adversely impacted as could our ability to remain in compliance with these debt covenants.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Financial Information</w:t>
      </w:r>
    </w:p>
    <w:p>
      <w:pPr>
        <w:spacing w:after="0" w:line="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GEO’s Secured Notes and Unsecured Notes are fully and unconditionally guaranteed on a joint and several senior unsecured basis (except on a senior secured basis in the case of the Secured Notes) by certain of our wholly owned domestic subsidiaries (the “Subsidiary Guarantors”).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Summarized financial information is provided for GEO and the Subsidiary Guarantors on a combined basis in accordance with SEC Regulation S-X Rules 3-10 and 13-01. The accounting policies used in the preparation of this summarized financial information are consistent with those elsewhere in the consolidated financial statements of the Company, except that intercompany transactions and balances of GEO and the Subsidiary Guarantor entities with non-guarantor entities have not been eliminated. Intercompany transactions between GEO and the Subsidiary Guarantors have been eliminated and equity in earnings from and investments in non-guarantor subsidiaries have not been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statement of operations (in thousands):</w:t>
      </w: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right"/>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revenues</w:t>
            </w:r>
          </w:p>
        </w:tc>
        <w:tc>
          <w:tcPr>
            <w:tcW w:w="17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1,139,342</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1,105,117</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142,249</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(22,884)</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The GEO Group, Inc.</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(22,884)</w:t>
            </w:r>
          </w:p>
        </w:tc>
      </w:tr>
      <w:tr>
        <w:trPr>
          <w:trHeight w:val="72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Summarized balance sheets (in thousands):</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442,355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438,433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(a)</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3,004,080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2,999,305</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417,240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255,851</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(b)</w:t>
            </w: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1,816,587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2,002,284</w:t>
            </w:r>
          </w:p>
        </w:tc>
      </w:tr>
    </w:tbl>
    <w:p>
      <w:pPr>
        <w:spacing w:after="0" w:line="206" w:lineRule="exact"/>
        <w:rPr>
          <w:sz w:val="20"/>
          <w:szCs w:val="20"/>
          <w:color w:val="auto"/>
        </w:rPr>
      </w:pPr>
    </w:p>
    <w:p>
      <w:pPr>
        <w:jc w:val="center"/>
        <w:ind w:left="5540" w:right="100" w:hanging="5532"/>
        <w:spacing w:after="0" w:line="783" w:lineRule="auto"/>
        <w:tabs>
          <w:tab w:leader="none" w:pos="4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$57.8 million and $55.9 million as of June 30, 2025 and December 31, 2024, respectively.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left="480" w:hanging="472"/>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to non-guarantor subsidiaries of $46.7 million and $46.8 million as of June 30, 2025 and December 31, 2024,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Except as discussed in the notes to our Unaudited Consolidated Financial Statements included in Part I, Item 1 of this Quarterly Report on Form 10-Q, we do not have any off-balance sheet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as of June 30, 2025 was $120.6 million compared to $122.7 million as of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amounted to $110.4 million for the six months ended June 30, 2025 versus net cash provided by operating activities of $114.5 million for the six months ended June 30, 2024. Cash provided by operating activities during the six months ended June 30, 2025 was positively impacted by non-cash expenses such as depreciation and amortization, amortization of debt issuance costs, discount and/or premium and other non-cash interest, dividends received from unconsolidated joint ventures and stock-based compensation expense. Equity in earnings of affiliates, net of tax, gain on sale/disposal of property and equipment, net, and realized/unrealized gain on investments negatively impacted cash. Accounts receivable, prepaid expenses and other assets increased in total by $4.5 million, representing a negative impact on cash. The increase was primarily driven by the timing of billings and collections. Accounts payable, accrued expenses and other liabilities decreased by $6.8 million which negatively impacted cash. The increase was primarily driven by the timing of payments.</w:t>
      </w:r>
    </w:p>
    <w:p>
      <w:pPr>
        <w:spacing w:after="0" w:line="3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June 30, 2024 was positively impacted by non-cash expenses such as depreciation and amortization, loss on sale/disposal of property and equipment, loss on extinguishment of debt, amortization of debt issuance costs, discount and/or premium and other non-cash interest, dividends received from unconsolidated joint ventures, loss on asset divestitures/impairment and stock-based compensation expense. Equity in earnings of affiliates, net of tax and realized/unrealized gain on investments negatively impacted cash. Accounts receivable, prepaid expenses and other assets increased in total by $16.8 million, representing a negative impact on cash. The increase was primarily driven by the timing of billings and collections. Accounts payable, accrued expenses and other liabilities decreased by $21.5 million which negatively impacted cash. The decrease was primarily driven by the timing of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$81.8 million during the six months ended June 30, 2025 was primarily the result of capital expenditures of $67.6 million, purchases of marketable securities of $16.9 million and proceeds from sales of marketable securities of $2.7 million. Net cash used in investing activities of $37.0 million during the six months ended June 30, 2024 was primarily the result of capital expenditures of $39.2 million, purchases of marketable securities of $7.2 million and proceeds from sales of marketable securities of $9.4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was approximately $37.6 million compared to net cash used in financing activities of $113.2 million during the six months ended June 30, 2024. Net cash used in financing activities during the six months ended June 30, 2025 was primarily the result of payments on the revolver of $30.0 million, proceeds from the revolver of $35.0 million, payments on long-term debt of $24.7 million, proceeds from the exercise of stock options of $4.2 million, and taxes paid related to net share settlement of equity awards of $22.2 million. Net cash used in financing activities during the six months ended June 30, 2024 was primarily the result of payments on long-term debt of $1,802.1 million, proceeds from the issuance of long-term debt of $1,720.5 million, proceeds from the revolver of $40.0 million, debt issuance costs of $30.6 million, payments for call premiums of $34.3 million and taxes paid related to net share settlement of equity awards of $7.5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is defined as net income adjusted by adding provision for income tax, interest expense, net of interest income and depreciation and amortization. Adjusted EBITDA is defined as EBITDA adjusted for net loss attributable to non-controlling interests, stock-based compensation expenses, pre-tax, transaction expenses, pre-tax, close-out expenses, pre-tax and other non-cash revenues and expenses, pre-tax, and certain other adjustments as defined from time to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Our reconciliation of net income to EBITDA and Adjusted EBITDA for the three and six months ended June 30, 2025 and 2024 is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29,074</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(32,563)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48,616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(9,904)</w:t>
            </w:r>
          </w:p>
        </w:tc>
      </w:tr>
      <w:tr>
        <w:trPr>
          <w:trHeight w:val="21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Add: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 *</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(20,193)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(11,994)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 **</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179,851</w:t>
            </w:r>
          </w:p>
        </w:tc>
        <w:tc>
          <w:tcPr>
            <w:tcW w:w="12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112,565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109,548</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220,631</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Add (Subtract):</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expenses, pre-tax</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 and settlements, pre-tax</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asset divestitures/impairment, pre-tax</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ATM equity program expenses, pre-tax</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expenses, pre-tax</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Employee restructuring expenses, pre-tax</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Start-up expenses, pre-tax</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Close-out expenses, pre-tax</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revenues and expenses, pre-tax</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r>
      <w:tr>
        <w:trPr>
          <w:trHeight w:val="232"/>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118,597</w:t>
            </w: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119,250</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218,363</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236,893</w:t>
            </w:r>
          </w:p>
        </w:tc>
        <w:tc>
          <w:tcPr>
            <w:tcW w:w="12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-1813560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-1813560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-1813560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-1813560</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-159385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-159385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-13335</wp:posOffset>
            </wp:positionV>
            <wp:extent cx="33604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ind w:right="6440" w:firstLine="8"/>
        <w:spacing w:after="0" w:line="281"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tax provision on equity in earnings of affiliate ** includes 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-304165</wp:posOffset>
            </wp:positionV>
            <wp:extent cx="33604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discussion contains statements that are not limited to historical statements and, therefore, constitute forward-looking statements within the meaning of the Private Securities Litigation Reform Act of 1995. Our forward-looking statements are subject to risks and uncertainties that could cause actual results to differ materially from those stated or implied in the forward-looking statements. Please refer to “Part I - Item 1A. Risk Factors” and the "Forward Looking Statements - Safe Harbor" sections in our Annual Report on Form 10-K for the fiscal year ended December 31, 2024 and “Part II - Item 1A. Risk Factors” in our Quarterly Report on Form 10-Q for the quarter ended March 31, 2025 for further discussion on forward-looking statements and the risks and other factors that could prevent us from achieving our goals and cause the assumptions underlying the forward-looking statements and the actual results to differ materially from those expressed in or implied by those forward-looking statements.</w:t>
      </w:r>
    </w:p>
    <w:p>
      <w:pPr>
        <w:spacing w:after="0" w:line="18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continue to be encouraged by the current landscape of growth opportunities. We are preparing for what we believe is an unprecedented opportunity to help the federal government meet its expanded immigration enforcement priorities. We are taking several important steps to meet this opportunity, including making a previously announced significant investment in capital expenditures to strengthen our capabilities to deliver expanded detention capacity, secure transportation, and electronic monitoring and related services to U.S. Immigration and Customs Enforcement and the federal government. Additionally, in the first weeks of the new Administration, President Trump issued an Executive Order reversing the prior Administration's Executive Order that had directed the U.S. Attorney General to not renew U.S. Department of Justice contracts with privately-operated criminal detention facilities.</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positive trends in the industry may be offset by several factors, including budgetary constraints, contract modifications, contract terminations, contract non-renewals, contract re-bids and/or the decision to not re-bid a contract after expiration of the contract term and the impact of any other potential changes to the willingness or ability to maintain or grow public-private partnerships on the part of other government agencies.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expenses consist of those expenses incurred in the operation and management of our contracts to provide services to our governmental clients. Labor and related costs represented approximately 70% and 69% of our operating expenses during the six months ended June 30, 2025 and 2024, respectively. Additional operating expenses include food, utilities and medical costs. During the six months ended June 30, 2025 and 2024, operating expenses totaled approximately 75% and 73%, respectively, of our consolidated revenues. We expect our operating expenses as a percentage of revenues in 2025 will be impacted by the opening of any new or existing idle facilities as a result of the cost of transitioning and/or start-up operations related to a facility opening. We also expect that our operating expenses will be impacted by the effect of inflation on costs related to personnel, utilities, insurance, and medical and food, among other operational costs. During 2025, we will incur carrying costs for facilities that are currently vacant.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consist primarily of corporate management salaries and benefits, professional fees and other administrative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six months ended June 30, 2025 and 2024, general and administrative expenses totaled approximately 9% of our consolidated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general and administrative expenses as a percentage of revenues in 2025 to remain consistent or decrease as a result of cost savings initiatives.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Idle Facilities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currently marketing (or awaiting activation) 6,785 vacant beds at six U.S. Secure Services and at three of our Reentry Services idle facilities to potential customers. One of our U.S. Secure Services idle facilities, the 700-bed Cheyenne Mountain Recovery Center, is currently under a contract that has not yet been activated. The annual net carrying cost of our idle facilities in 2025 is estimated to be $18.3 million, including depreciation expense of $12.3 million. As of June 30, 2025, these nine facilities had a combined net book value of $186.1 million. We currently do not have any firm commitment or agreement in place to activate the idle facilities (except for the Cheyenne Mountain Recovery Center). Historically, some facilities have been idle for multiple years before they received a new contract award. These idle facilities are included in the U.S. Secure Services and Reentry Services segments. The per diem rates that we charge our clients often vary by contract across our portfolio. However, if the remaining idle facilities were to be activated using our U.S. Secure Services and Reentry Services average per diem rates in 2025 (calculated as the U.S. Secure Services and Reentry Services revenue divided by the number of U.S. Secure Services and Reentry Services mandays) and based on the average occupancy rate in our facilities through June 30, 2025, we would expect to receive incremental annualized revenue of approximately $240 million and an annualized increase in earnings per share of approximately $0.20 to $0.25 per share based on our average operating margins.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exposed to market risks related to changes in interest rates with respect to our Credit Agreement. Payments under the Credit Agreement are indexed to a variable interest rate. Based on borrowings outstanding under the Credit Agreement of approximately $411.9 million and approximately $47.5 million in outstanding letters of credit, as of June 30, 2025, for every one percent increase in the average interest rate applicable to the Credit Agreement, our total annual interest expense would have increased by approximately $4.6 million.</w:t>
      </w:r>
    </w:p>
    <w:p>
      <w:pPr>
        <w:spacing w:after="0" w:line="34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entered into certain interest rate swap arrangements for hedging purposes, fixing the interest rate on certain of our variable rate debt. The difference between the floating rate and the swap rate on these instruments is recognized in interest expense within the respective entity. Because the interest rates with respect to these instruments are fixed, a hypothetical 100 basis point change in the current interest rate would not have a material impact on our financial condition or results of operations.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we invest our cash in a variety of short-term financial instruments to provide a return. These instruments generally consist of highly liquid investments with original maturities at the date of purchase of three months or less. While these instruments are subject to interest rate risk, a hypothetical 100 basis point increase or decrease in market interest rates would not have a material impact on our financial condition or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risks related to fluctuations in foreign currency exchange rates between the U.S. dollar, and the Australian dollar, the South African Rand and the British Pound currency exchange rates. Based upon our foreign currency exchange rate exposure as of June 30, 2025, every 10 percent change in historical currency rates would have approximately a $9.0 million effect on our financial position and approximately a $0.9 million impact on our results of operations during the six months ended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Securities Exchange Act of 1934, as amended, referred to as the Exchange Act), as of the end of the period covered by this report. On the basis of this review, our management, including our Chief Executive Officer and our Chief Financial Officer, has concluded that as of the end of the period covered by this report, our disclosure controls and procedures were effective to give reasonable assurance that the information required to be disclosed in our reports filed with the SEC, under the Exchange Act is recorded, processed, summarized and reported within the time periods specified in the rules and forms of the SEC, and to ensure that the information required to be disclosed in the reports filed or submitted under the Exchange Act is accumulated and communicated to our management, including our Chief Executive Officer and our Chief Financial Officer, in a manner that allows timely decisions regarding required disclosure.</w:t>
      </w:r>
    </w:p>
    <w:p>
      <w:pPr>
        <w:spacing w:after="0" w:line="138"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It should be noted that the effectiveness of our system of disclosure controls and procedures is subject to certain limitations inherent in any system of disclosure controls and procedures, including the exercise of judgment in designing, implementing and evaluating the controls and procedures, the assumptions used in identifying the likelihood of future events, and the inability to eliminate misconduct completely. Accordingly, there can be no assurance that our disclosure controls and procedures will detect all errors or fraud. As a result, by its nature, our system of disclosure controls and procedures can provide only reasonable assurance regarding management’s control objectives.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is responsible to report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Management believes that there have not been any changes in our internal control over financial reporting (as such term is defined in Rules 13a-15(f) and 15d-15(f) under the Exchange Act) during the period to which this report relates that have materially affected, or are reasonably likely to materially affect, our internal control over financial reporting. There were no significant changes to our internal control over financial reporting during the quarter ended June 30, 2025.</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Assessments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Immigration Detainee Litigation</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Civil immigration detainees at the Aurora ICE Processing Center filed a class action lawsuit on October 22, 2014, against the Company in the U.S. District Court for the District of Colorado. The complaint alleges that the Company was in violation of the Colorado Minimum Wage Act ("CMWA") and the Federal Trafficking Victims Protection Act (“TVPA”). The complaint also claims that the Company was unjustly enriched based on the level of payment the detainees received for work performed in a Voluntary Work Program ("VWP") the Company is required to implement at the facility under the terms of its contract with the federal government. On July 6, 2015, the court found that detainees were not employees under the CMWA and dismissed this claim. On February 27, 2017, the court granted the plaintiffs' motion for class certification on the TVPA and unjust enrichment claims. The plaintiffs' class seeks actual damages, compensatory damages, exemplary damages, punitive damages, restitution, attorneys’ fees and costs, and such other relief as the court may deem proper. On October 18, 2022, the court issued an order granting plaintiffs’ motion for summary judgment on the Company’s affirmative defenses, denying the Company’s motion for summary judgment, motion to dismiss, and motion for decertification of the class, narrowing the class period for plaintiffs’ TVPA claims, and otherwise ruling against the Company’s motions for relief. All trial dates were stayed by court order pending appeal of certain of GEO's defenses to the Tenth Circuit Court of Appeals. Oral argument before the Tenth Circuit was held on September 18, 2023. On October 22, 2024, the Tenth Circuit issued an Order finding appellate review of GEO’s claim of immunity was premature and, therefore, the Tenth Circuit was currently without jurisdiction to consider the merits of GEO’s claimed immunity. On January 13, 2025, GEO filed a Petition for Writ of Certiorari with the United States Supreme Court seeking review of the Tenth Circuit's decision. On June 2, 2025, the United States Supreme Court granted GEO’s Petition for Writ of Certiorari. All trial dates remain stayed.</w:t>
      </w:r>
    </w:p>
    <w:p>
      <w:pPr>
        <w:spacing w:after="0" w:line="200" w:lineRule="exact"/>
        <w:rPr>
          <w:sz w:val="20"/>
          <w:szCs w:val="20"/>
          <w:color w:val="auto"/>
        </w:rPr>
      </w:pPr>
    </w:p>
    <w:p>
      <w:pPr>
        <w:spacing w:after="0" w:line="2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first of two State of Washington lawsuits, Nwauzor v. GEO Group, was filed on September 26, 2017, by immigration detainees against the Company in the U.S. District Court for the Western District of Washington. The second lawsuit was filed on September 20, 2017, by the State Attorney General against the Company in the Superior Court of the State of Washington for Pierce County, which the Company removed to the U.S. District Court for the Western District of Washington on October 9, 2017. The plaintiffs claimed that State of Washington minimum wage laws should be enforced with respect to detainees who volunteer to participate in a VWP administered by GEO at the Northwest ICE Processing Center (the "Center") as required by the U.S. Department of Homeland Security under the terms of GEO’s contract. The Center houses people in the custody of federal immigration authorities while the federal government is determining their immigration status. In October 2021, an unfavorable jury verdict and court judgment resulting in a combined $23.2 million judgment entered against the Company in the retrial of the two cases, which judgment amounts were subsequently increased by a further award against the Company of attorney’s fees, costs, and pre-judgment interest in the amount of $14.4 million. Post-judgment interest is accruing on these judgments in accordance with Washington law. The trial court waived the necessity to post a supersedeas bond for the combined judgments and has stayed enforcement of the verdict and judgments while GEO’s appeal to the U.S. Court of Appeals for the Ninth Circuit is pending. Oral argument before the Ninth Circuit was held on October 6, 2022. On March 7, 2023, the Ninth Circuit certified certain state law questions to the Washington Supreme Court. Oral argument before the Washington Supreme Court was held on October 17, 2023. On December 21, 2023, the Washington Supreme Court issued an opinion answering the questions certified by the Ninth Circuit. Under the Ninth Circuit’s March 7, 2023 order certifying the above questions to the Washington Supreme Court, the Ninth Circuit resumed control and jurisdiction over the State of Washington lawsuits. On February 21, 2024, the United States Department of Justice filed its Brief for the United States as Amicus Curiae in Support of GEO, arguing that the State of Washington judgments should be reversed because the Supremacy Clause precludes application of the Washington Minimum Wage Statute to work programs for federal detainees. In its Brief, the Department of Justice asserted that application of the Washington law independently contravened intergovernmental immunity because it would make federal detainees subject to provisions that do not apply, and never have applied, to persons in state custody, singling out a contractor with the federal government for obligations Washington does not itself bear. The Department of Justice also contended that the immigration statutory structure approved by Congress does not contemplate a role for states or state law in governing the VWP for federal detainees. On January 16, 2025, the Ninth Circuit issued an Opinion by a 2-1 vote affirming the lower court’s decision. That Opinion includes a 24-page dissenting opinion. On February 6, 2025, GEO timely filed its Petition for Rehearing En Banc. On March 20, 2025, the United States filed an Amicus Brief with the Ninth Circuit in which it argued that the January 16, 2025 decision of the Ninth Circuit is incorrect in multiple respects, runs contrary to Circuit precedent, and creates significant tension with the case law of other circuits. The United States argued that the application of the state minimum-wage law to federal immigration detainees in the voluntary work program is preempted by a federal appropriation statute that sets the minimum allowance for detainee participants at $1 per day. Additionally, the United States argued that the application of the state minimum-wage law to federal immigration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detainees likewise impermissibly discriminates against the federal government in violation of intergovernmental-immunity principles. A final mandate has not been issued by the Ninth Circuit and the appeal remains pending until resolution of the Petition for Rehearing.</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California, a class action lawsuit was filed on December 19, 2017, by immigration detainees against the Company in the U.S. District Court, Eastern Division of the Central District of California. The California lawsuit alleges violations of the state’s minimum wage laws, violations of the TVPA and California's equivalent state statute, unjust enrichment, unfair competition and retaliation. The California court has certified a class of individuals who have been civilly detained at the Company's Adelanto Facility from December 19, 2014, until the date of final judgment. On March 31, 2022, the court entered a stay until the Ninth Circuit rules on the State of Washington lawsuits.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Current and former detainees of the Mesa Verde ICE Processing Center and the Golden State Annex ICE Processing Center filed a class action lawsuit on July 13, 2022, against the Company in the U.S. District Court for the Eastern District of California, Fresno Division. The complaint alleges that federal detainees who volunteer to participate in the VWP at GEO’s Mesa Verde and Golden State Annex ICE facilities are employees of GEO and entitled to the state’s minimum wage. Plaintiffs also make claims for unfair competition, unjust enrichment, human trafficking, forced labor, California's Private Attorneys General Act and retaliation. GEO filed both a motion to stay the action pending the Ninth Circuit's decision in the State of Washington lawsuits and a motion to dismiss the action in its entirety. On July 10, 2023, the court entered a stay until the Ninth Circuit rules on the State of Washington lawsuits. On February 10, 2025, the Court denied plaintiffs’ request to lift the stay until the Ninth Circuit rules on GEO’s Petition for Rehearing En Banc.</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GEO believes it operates the VWP in full compliance with its contract with ICE and all applicable laws, regulations, and standards. GEO strongly disputes the claims made in these lawsuits, and intends to take all necessary steps to vigorously defend itself from these lawsuits. GEO has not recorded any accruals relating to these lawsuits at this time as losses are not considered 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Challenges to State Legislation that Conflict with Federal Contracts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13, 2023, the Company filed a lawsuit in the U.S. District Court for the Western District of Washington against the State of Washington for declaratory and injunctive relief challenging the State of Washington’s newly enacted law – House Bill 1470. House Bill 1470 purports to empower state agencies with new rule making, inspection, investigation, and testing powers over the Northwest ICE Processing Center. House Bill 1470 also creates a statutory regime of civil penalties applicable to private detention facilities for violations of House Bill 1470 detention standards, and purports to create a private right of action for detainees aggrieved by violations of the statute. On March 8, 2024, the U.S. District Court for the Western District of Washington entered an order preliminarily enjoining the enforcement of House Bill 1470 against GEO as the operator of the Northwest ICE Processing Center. On April 29, 2024, the State of Washington filed a Notice of Appeal of the order preliminarily enjoining the enforcement of House Bill 1470. On February 14, 2025, the U.S. Court of Appeals for the Ninth Circuit heard arguments on the State of Washington’s appeal.</w:t>
      </w:r>
    </w:p>
    <w:p>
      <w:pPr>
        <w:spacing w:after="0" w:line="20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April 15, 2024, the Company filed a lawsuit in the U.S. District Court for the District of New Jersey against the State of New Jersey for declaratory and injunctive relief challenging the State of New Jersey’s Assembly Bill 5207 – that purports to prohibit the operation of "private detention facilities" in the state, which would prevent the United States from using privately contracted detention facilities to house detainees in the custody of ICE. On April 25, 2024, the U.S. District Court for the District of New Jersey entered an order preliminarily enjoining the State of New Jersey from enforcing Assembly Bill 5207 against a private detention facility-including any owned by Plaintiff GEO until a further Order of the Court. On July 22, 2025, the Third Circuit Court of Appeals affirmed a U.S. District Court for the District of New Jersey decision in a similar case finding Assembly Bill 5207 unconstitutional.</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October 22, 2024, the Company filed a lawsuit in the U.S. District Court for the Eastern District of California against the State of California and the Kern County Public Health Department for declaratory and injunctive relief challenging the State of California’s newly enacted law – Senate Bill 1132. Senate Bill 1132 purports to empower state agencies with new inspection and investigation powers over GEO’s California facilities providing contracted services to ICE. Senate Bill 1132 also purports to impose standards prescribed by the Board of State and Community Corrections on GEO’s provision of contracted services to ICE in California. The State of California and Kern County filed a motion to dismiss on December 20, 2024. The U.S. District Court heard arguments on GEO’s motion for declaratory and injunctive relief and the defendants’ motion to dismiss on March 3, 2025. On May 5, 2025, the U.S. District Court for the Eastern District of California entered an order finding Senate Bill 1132 does not impose any standards on GEO’s provision of contracted services to ICE, and dismissing GEO’s suit with leave to amend.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Litigation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nature of the Company's business also exposes it to various other legal claims or litigation, including, but not limited to, civil rights claims relating to conditions of confinement and/or mistreatment, sexual misconduct claims brought by individuals in its care,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right="160"/>
        <w:spacing w:after="0" w:line="255" w:lineRule="auto"/>
        <w:rPr>
          <w:sz w:val="20"/>
          <w:szCs w:val="20"/>
          <w:color w:val="auto"/>
        </w:rPr>
      </w:pPr>
      <w:r>
        <w:rPr>
          <w:rFonts w:ascii="Times New Roman" w:cs="Times New Roman" w:eastAsia="Times New Roman" w:hAnsi="Times New Roman"/>
          <w:sz w:val="18"/>
          <w:szCs w:val="18"/>
          <w:color w:val="auto"/>
        </w:rPr>
        <w:t>medical malpractice claims, claims related to deaths in custody, product liability claims, intellectual property infringement claims, claims relating to employment matters (including, but not limited to, employment discrimination claims, union grievances and wage and hour claims), property loss claims, environmental claims, automobile liability claims, indemnification claims by its customers and other third-parties, contractual claims and claims for personal injury or other damages resulting from contact with the Company's facilities, programs, electronic monitoring products, personnel or detainees, including damages arising from the escape of an individual in its care or from a disturbance or riot at a facility. Legal proceedings with respect to our facilities are unpredictable and, where material, can cause adverse effects, such as prompting modification or even termination of the underlying facility management contracts.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Assessment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New Mexico non-income tax audit completed in 2016 included tax periods for which the state tax authority had previously processed a substantial tax refund. At the completion of the audit fieldwork, the Company received a notice of audit findings disallowing deductions that were previously claimed by the Company that was approved by the state tax authority and served as the basis for the approved refund claim. In early January 2017, the Company received a formal Notice of Assessment of Taxes and Demand for Payment from the taxing authority disallowing the deductions. The Company appealed the administrative ruling. In February 2024, the Company received notice that the New Mexico Court of Appeals had ruled against its appeal. The Company appealed this ruling to the New Mexico Supreme Court by timely filing a Petition for Writ of Certiorari on April 19, 2024. On July 8, 2024, the New Mexico Supreme Court denied the Company's Petition for Writ of Certiorari. The Company had established an estimated liability (inclusive of both the audit period and the post-audit period) based on its estimate of the most probable loss based on the facts and circumstances known and the advice of outside counsel in connection with this matter. In July 2024, the Company made a payment of approximately $18.9 million towards the estimated liability related to the assessment for the audited period. Following the submission of an application in September 2024, the Company was accepted to participate in the State's managed audit program and entered into a Managed Audit Agreement (the "Agreement") with the New Mexico Taxation and Revenue Department for the post-audit period. The Agreement provides for a waiver of penalties and interest and as such, the Company recorded a favorable adjustment for penalties and interest related to the post-audit period of approximately $6.3 million in the third quarter of 2024. The managed audit is ongoing at this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Accruals for Legal Proceedings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establishes accruals for specific legal proceedings when it is considered probable that a loss has been incurred and the amount of the loss can be reasonably estimated. However, the results of these claims or proceedings cannot be predicted with certainty, and an unfavorable resolution of one or more of these claims or proceedings could have a material adverse effect on the Company's financial condition, results of operations or cash flows, including the modification or loss of one or more facility management contracts, or could result in a material impairment of the Company’s assets. The Company's accruals for loss contingencies are reviewed quarterly and adjusted as additional information becomes available. The Company generally does not accrue for anticipated legal fees and costs but expenses those items as incurred.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1A of Part I of our Annual Report on Form 10-K for the year ended December 31, 2024 and Item 1A of Part II of our Quarterly Report on Form 10-Q for the quarter ended March 31, 2025 includes a detailed discussion of the risk factors that could materially affect our business, financial condition or future prospects. We encourage you to read these risk factors in their entirety.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Richard K. Long, Senior Vice President, Project Development, entered into a 10b5-1 trading plan on May 19, 2025 (the “Long Trading Plan”). The Long Trading Plan provides for the potential sale of up to 50,835 shares of GEO common stock and will be in effect until the earlier of (i) May 18, 2026 and (ii) the date on which all of the shares have been sold. The Long Trading Plan was entered into during an open trading window and is intended to satisfy the affirmative defense of Rule 10b5-1(c) under the Securities Exchange Act of 1934, as amended, and GEO’s policies regarding transactions in GEO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Christopher D. Ryan, Senior Vice President, Human Resources, entered into a 10b5-1 trading plan on May 19, 2025 (the “Ryan Trading Plan”). The Ryan Trading Plan provides for the potential sale of up to 12,343 shares of GEO common stock and will be in effect until the earlier of (i) May 15, 2026 and (ii) the date on which all of the shares have been sold. The Ryan Trading Plan was entered into during an open trading window and is intended to satisfy the affirmative defense of Rule 10b5-1(c) under the Securities Exchange Act of 1934, as amended, and GEO’s policies regarding transactions in GEO securities.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director or officer of the Company adopted, modified or terminated a “Rule 10b5-1 trading arrangement” or a “non-Rule 10b5-1 trading arrangement” (in each case, as defined in Item 408 of Regulation S-K) during the fiscal quarter ended June 30,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Compensatory Arrangements of Certain Officers</w:t>
      </w:r>
    </w:p>
    <w:p>
      <w:pPr>
        <w:spacing w:after="0" w:line="310"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auto"/>
        </w:rPr>
        <w:t>On July 7, 2025, George C. Zoley and the Company entered into the Amendment to Executive Chairman Employment Agreement (the “Executive Chairman Amendment”). The Executive Chairman Amendment modifies Dr. Zoley’s employment agreement by extending his employment term as Executive Chairman from June 30, 2026 to April 2, 2029, updating his base salary to reflect the base salary previously approved by the Committee in February 2025 and modifying each of the Target Bonus (as defined below) and Target Stock Award (as defined below) applicable to Dr. Zoley from 100% to 150% of his base salary. The Compensation Committee of the Board of Directors (the “Committee”) approved the Executive Chairman Amendment on July 3, 2025.</w:t>
      </w:r>
    </w:p>
    <w:p>
      <w:pPr>
        <w:spacing w:after="0" w:line="187" w:lineRule="exact"/>
        <w:rPr>
          <w:sz w:val="20"/>
          <w:szCs w:val="20"/>
          <w:color w:val="auto"/>
        </w:rPr>
      </w:pPr>
    </w:p>
    <w:p>
      <w:pPr>
        <w:ind w:left="20" w:right="360"/>
        <w:spacing w:after="0" w:line="256" w:lineRule="auto"/>
        <w:rPr>
          <w:sz w:val="20"/>
          <w:szCs w:val="20"/>
          <w:color w:val="auto"/>
        </w:rPr>
      </w:pPr>
      <w:r>
        <w:rPr>
          <w:rFonts w:ascii="Times New Roman" w:cs="Times New Roman" w:eastAsia="Times New Roman" w:hAnsi="Times New Roman"/>
          <w:sz w:val="18"/>
          <w:szCs w:val="18"/>
          <w:color w:val="auto"/>
        </w:rPr>
        <w:t>On July 3, 2025, the Committee approved an adjustment to the annual cash incentive target amount pursuant to the terms of the Senior Management Performance Award Plan (the “Target Bonus”) and the annual equity incentive award target amount (the “Target Stock Award”) applicable to the Company’s Chief Executive Officer, J. David Donahue. The Committee approved the adjustment of each of the Target Bonus and Target Stock Award from 100% to 150% of his base salary. On August 4, 2025, Mr. Donahue and the Company entered into the Amendment to Executive Employment Agreement (the "Executive Amendment") to reflect the adjustments to each of the Target Bonus and Target Stock Award applicable to Mr. Donahue from 100% to 150% of his base salary.</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July 15, 2025, the Committee of the Company approved a modification to the vesting schedule of the one-time special recognition stock award of 207,862 shares of restricted stock granted to George C. Zoley, the Company’s Executive Chairman, on March 3, 2025 such that the award vested on July 17, 2025 instead of March 3, 2026. The Committee approved the modification in light of and in connection with the Executive Chairman Amendment entered into on July 7, 2025 discussed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4"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10.1</w:t>
            </w:r>
          </w:p>
        </w:tc>
        <w:tc>
          <w:tcPr>
            <w:tcW w:w="102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Purchase and Sale Agreement, dated as of June 3, 2025, by and between The GEO Group, Inc., CPT Operating Partnership L.P. and the State</w:t>
              </w:r>
            </w:hyperlink>
          </w:p>
        </w:tc>
      </w:tr>
      <w:tr>
        <w:trPr>
          <w:trHeight w:val="196"/>
        </w:trPr>
        <w:tc>
          <w:tcPr>
            <w:tcW w:w="920" w:type="dxa"/>
            <w:vAlign w:val="bottom"/>
          </w:tcPr>
          <w:p>
            <w:pPr>
              <w:spacing w:after="0"/>
              <w:rPr>
                <w:sz w:val="17"/>
                <w:szCs w:val="17"/>
                <w:color w:val="auto"/>
              </w:rPr>
            </w:pPr>
          </w:p>
        </w:tc>
        <w:tc>
          <w:tcPr>
            <w:tcW w:w="10220" w:type="dxa"/>
            <w:vAlign w:val="bottom"/>
            <w:gridSpan w:val="2"/>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 xml:space="preserve">of Oklahoma (incorporated by reference to Exhibit 10.1 to the Company's Current Report on Form 8-K, filed on June 9, 2025). </w:t>
              </w:r>
              <w:r>
                <w:rPr>
                  <w:rFonts w:ascii="Times New Roman" w:cs="Times New Roman" w:eastAsia="Times New Roman" w:hAnsi="Times New Roman"/>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91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w:t>
            </w:r>
          </w:p>
        </w:tc>
        <w:tc>
          <w:tcPr>
            <w:tcW w:w="101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Amendment to Executive Chairman Employment Agreement, dated as of July 7, 2025, between The GEO Group, Inc. and George C. Zoley</w:t>
              </w:r>
            </w:hyperlink>
          </w:p>
        </w:tc>
      </w:tr>
      <w:tr>
        <w:trPr>
          <w:trHeight w:val="196"/>
        </w:trPr>
        <w:tc>
          <w:tcPr>
            <w:tcW w:w="1040" w:type="dxa"/>
            <w:vAlign w:val="bottom"/>
          </w:tcPr>
          <w:p>
            <w:pPr>
              <w:spacing w:after="0"/>
              <w:rPr>
                <w:sz w:val="17"/>
                <w:szCs w:val="17"/>
                <w:color w:val="auto"/>
              </w:rPr>
            </w:pPr>
          </w:p>
        </w:tc>
        <w:tc>
          <w:tcPr>
            <w:tcW w:w="10160" w:type="dxa"/>
            <w:vAlign w:val="bottom"/>
            <w:gridSpan w:val="8"/>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 xml:space="preserve">(incorporated by reference to Exhibit 10.1 to the Company's Current Report on Form 8-k, filed on July 10, 2025). </w:t>
              </w:r>
              <w:r>
                <w:rPr>
                  <w:rFonts w:ascii="Times New Roman" w:cs="Times New Roman" w:eastAsia="Times New Roman" w:hAnsi="Times New Roman"/>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4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w:t>
            </w:r>
          </w:p>
        </w:tc>
        <w:tc>
          <w:tcPr>
            <w:tcW w:w="10160" w:type="dxa"/>
            <w:vAlign w:val="bottom"/>
            <w:gridSpan w:val="8"/>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First Amendment to Credit Agreement, dated as of July 14, 2025, among The GEO Group, Inc. and GEO Corrections Holdings, Inc. as</w:t>
              </w:r>
            </w:hyperlink>
          </w:p>
        </w:tc>
      </w:tr>
      <w:tr>
        <w:trPr>
          <w:trHeight w:val="20"/>
        </w:trPr>
        <w:tc>
          <w:tcPr>
            <w:tcW w:w="1040" w:type="dxa"/>
            <w:vAlign w:val="bottom"/>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4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60" w:type="dxa"/>
            <w:vAlign w:val="bottom"/>
            <w:gridSpan w:val="8"/>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borrowers, Citizens Bank, N.A. as Administrative Agent, the other loan parties thereto and the other lender parties thereto (incorporated by</w:t>
              </w:r>
            </w:hyperlink>
          </w:p>
        </w:tc>
      </w:tr>
      <w:tr>
        <w:trPr>
          <w:trHeight w:val="20"/>
        </w:trPr>
        <w:tc>
          <w:tcPr>
            <w:tcW w:w="1040" w:type="dxa"/>
            <w:vAlign w:val="bottom"/>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4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60" w:type="dxa"/>
            <w:vAlign w:val="bottom"/>
            <w:gridSpan w:val="8"/>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reference to Exhibit 10.1 to the Company's Current Report on Form 8-k, filed on July 17, 2025).</w:t>
              </w:r>
            </w:hyperlink>
          </w:p>
        </w:tc>
      </w:tr>
      <w:tr>
        <w:trPr>
          <w:trHeight w:val="20"/>
        </w:trPr>
        <w:tc>
          <w:tcPr>
            <w:tcW w:w="1040" w:type="dxa"/>
            <w:vAlign w:val="bottom"/>
          </w:tcPr>
          <w:p>
            <w:pPr>
              <w:spacing w:after="0" w:line="20" w:lineRule="exact"/>
              <w:rPr>
                <w:sz w:val="1"/>
                <w:szCs w:val="1"/>
                <w:color w:val="auto"/>
              </w:rPr>
            </w:pPr>
          </w:p>
        </w:tc>
        <w:tc>
          <w:tcPr>
            <w:tcW w:w="2460" w:type="dxa"/>
            <w:vAlign w:val="bottom"/>
            <w:tcBorders>
              <w:right w:val="single" w:sz="8" w:color="0000FF"/>
            </w:tcBorders>
            <w:gridSpan w:val="2"/>
            <w:shd w:val="clear" w:color="auto" w:fill="0000FF"/>
          </w:tcPr>
          <w:p>
            <w:pPr>
              <w:spacing w:after="0" w:line="20" w:lineRule="exact"/>
              <w:rPr>
                <w:sz w:val="1"/>
                <w:szCs w:val="1"/>
                <w:color w:val="auto"/>
              </w:rPr>
            </w:pPr>
          </w:p>
        </w:tc>
        <w:tc>
          <w:tcPr>
            <w:tcW w:w="4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263"/>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Amendment to Executive Employment Agreement, dated as of August 4, 2025, between The GEO Group, Inc. and J. David Donahue. </w:t>
            </w:r>
            <w:r>
              <w:rPr>
                <w:rFonts w:ascii="Times New Roman" w:cs="Times New Roman" w:eastAsia="Times New Roman" w:hAnsi="Times New Roman"/>
                <w:sz w:val="18"/>
                <w:szCs w:val="18"/>
                <w:color w:val="000000"/>
              </w:rPr>
              <w:t>* †</w:t>
            </w: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2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479"/>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31.1</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CEO Certification. </w:t>
            </w:r>
            <w:r>
              <w:rPr>
                <w:rFonts w:ascii="Times New Roman" w:cs="Times New Roman" w:eastAsia="Times New Roman" w:hAnsi="Times New Roman"/>
                <w:sz w:val="18"/>
                <w:szCs w:val="18"/>
                <w:color w:val="000000"/>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700" w:type="dxa"/>
            <w:vAlign w:val="bottom"/>
            <w:tcBorders>
              <w:left w:val="single" w:sz="8" w:color="0000EE"/>
            </w:tcBorders>
            <w:gridSpan w:val="6"/>
          </w:tcPr>
          <w:p>
            <w:pPr>
              <w:spacing w:after="0" w:line="20" w:lineRule="exact"/>
              <w:rPr>
                <w:sz w:val="1"/>
                <w:szCs w:val="1"/>
                <w:color w:val="auto"/>
              </w:rPr>
            </w:pPr>
          </w:p>
        </w:tc>
      </w:tr>
      <w:tr>
        <w:trPr>
          <w:trHeight w:val="291"/>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31.2</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CFO Certification. </w:t>
            </w:r>
            <w:r>
              <w:rPr>
                <w:rFonts w:ascii="Times New Roman" w:cs="Times New Roman" w:eastAsia="Times New Roman" w:hAnsi="Times New Roman"/>
                <w:sz w:val="18"/>
                <w:szCs w:val="18"/>
                <w:color w:val="000000"/>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r>
      <w:tr>
        <w:trPr>
          <w:trHeight w:val="291"/>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32.1</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CEO Certification. </w:t>
            </w:r>
            <w:r>
              <w:rPr>
                <w:rFonts w:ascii="Times New Roman" w:cs="Times New Roman" w:eastAsia="Times New Roman" w:hAnsi="Times New Roman"/>
                <w:sz w:val="18"/>
                <w:szCs w:val="18"/>
                <w:color w:val="000000"/>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r>
      <w:tr>
        <w:trPr>
          <w:trHeight w:val="290"/>
        </w:trPr>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32.2</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0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CFO Certification. </w:t>
            </w:r>
            <w:r>
              <w:rPr>
                <w:rFonts w:ascii="Times New Roman" w:cs="Times New Roman" w:eastAsia="Times New Roman" w:hAnsi="Times New Roman"/>
                <w:sz w:val="18"/>
                <w:szCs w:val="18"/>
                <w:color w:val="000000"/>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2"/>
            <w:shd w:val="clear" w:color="auto" w:fill="0000FF"/>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r>
      <w:tr>
        <w:trPr>
          <w:trHeight w:val="3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40" w:type="dxa"/>
            <w:vAlign w:val="bottom"/>
          </w:tcPr>
          <w:p>
            <w:pPr>
              <w:spacing w:after="0"/>
              <w:rPr>
                <w:sz w:val="20"/>
                <w:szCs w:val="20"/>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bl>
    <w:p>
      <w:pPr>
        <w:spacing w:after="0" w:line="117" w:lineRule="exact"/>
        <w:rPr>
          <w:sz w:val="20"/>
          <w:szCs w:val="20"/>
          <w:color w:val="auto"/>
        </w:rPr>
      </w:pPr>
    </w:p>
    <w:p>
      <w:pPr>
        <w:ind w:left="1020" w:right="80" w:hanging="101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period ended June 30, 2025, has been formatted in Inline XBRL (included with the Exhibit 101 attachments).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have been omitted pursuant to Item 601 of Regulation S-K. The Company hereby undertakes to furnish copies</w:t>
      </w:r>
    </w:p>
    <w:p>
      <w:pPr>
        <w:spacing w:after="0" w:line="27" w:lineRule="exact"/>
        <w:rPr>
          <w:rFonts w:ascii="Times New Roman" w:cs="Times New Roman" w:eastAsia="Times New Roman" w:hAnsi="Times New Roman"/>
          <w:sz w:val="18"/>
          <w:szCs w:val="18"/>
          <w:color w:val="auto"/>
        </w:rPr>
      </w:pPr>
    </w:p>
    <w:p>
      <w:pPr>
        <w:ind w:left="240" w:right="1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of the omitted exhibits to the SEC upon request by the SEC; provided that the Company may request confidential treatment pursuant to Rule 24b-2 of the Securities Exchange Act of 1934, as amended, for any schedules or exhibits so furnished.</w:t>
      </w:r>
    </w:p>
    <w:p>
      <w:pPr>
        <w:spacing w:after="0" w:line="181" w:lineRule="exact"/>
        <w:rPr>
          <w:sz w:val="20"/>
          <w:szCs w:val="20"/>
          <w:color w:val="auto"/>
        </w:rPr>
      </w:pPr>
    </w:p>
    <w:p>
      <w:pPr>
        <w:ind w:left="240" w:right="1900" w:hanging="224"/>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112" w:lineRule="exact"/>
        <w:rPr>
          <w:sz w:val="20"/>
          <w:szCs w:val="20"/>
          <w:color w:val="auto"/>
        </w:rPr>
      </w:pPr>
    </w:p>
    <w:p>
      <w:pPr>
        <w:ind w:left="220" w:hanging="176"/>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agreement as defined in Item 402 (a)(3)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1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Suchinski</w:t>
            </w:r>
          </w:p>
        </w:tc>
      </w:tr>
      <w:tr>
        <w:trPr>
          <w:trHeight w:val="191"/>
        </w:trPr>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tc>
      </w:tr>
      <w:tr>
        <w:trPr>
          <w:trHeight w:val="648"/>
        </w:trPr>
        <w:tc>
          <w:tcPr>
            <w:tcW w:w="36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50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ind w:left="92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9" w:lineRule="exact"/>
        <w:rPr>
          <w:sz w:val="20"/>
          <w:szCs w:val="20"/>
          <w:color w:val="auto"/>
        </w:rPr>
      </w:pPr>
    </w:p>
    <w:p>
      <w:pPr>
        <w:ind w:firstLine="749"/>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This Amendment to the Executive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this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August, 2025, by J. David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Donahue ("</w:t>
      </w:r>
      <w:r>
        <w:rPr>
          <w:rFonts w:ascii="Times New Roman" w:cs="Times New Roman" w:eastAsia="Times New Roman" w:hAnsi="Times New Roman"/>
          <w:sz w:val="18"/>
          <w:szCs w:val="18"/>
          <w:b w:val="1"/>
          <w:bCs w:val="1"/>
          <w:color w:val="auto"/>
        </w:rPr>
        <w:t>Donahue</w:t>
      </w:r>
      <w:r>
        <w:rPr>
          <w:rFonts w:ascii="Times New Roman" w:cs="Times New Roman" w:eastAsia="Times New Roman" w:hAnsi="Times New Roman"/>
          <w:sz w:val="18"/>
          <w:szCs w:val="18"/>
          <w:color w:val="auto"/>
        </w:rPr>
        <w:t>") and THE GEO GROUP, INC. ("</w:t>
      </w:r>
      <w:r>
        <w:rPr>
          <w:rFonts w:ascii="Times New Roman" w:cs="Times New Roman" w:eastAsia="Times New Roman" w:hAnsi="Times New Roman"/>
          <w:sz w:val="18"/>
          <w:szCs w:val="18"/>
          <w:b w:val="1"/>
          <w:bCs w:val="1"/>
          <w:color w:val="auto"/>
        </w:rPr>
        <w:t>GEO</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effective as of January 1, 2025, Donahue and GEO entered into the Executive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WHEREAS</w:t>
      </w:r>
      <w:r>
        <w:rPr>
          <w:rFonts w:ascii="Times New Roman" w:cs="Times New Roman" w:eastAsia="Times New Roman" w:hAnsi="Times New Roman"/>
          <w:sz w:val="18"/>
          <w:szCs w:val="18"/>
          <w:color w:val="auto"/>
        </w:rPr>
        <w:t>, on July 3, 2025, the Compensation Committee of the Board of Directors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approved the</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modification of Donahue's annual target bonus from 100% to 150% of his base salary and the adjustment of Donahue's annual stock award from 100% to 150% of his base salary; and</w:t>
      </w:r>
    </w:p>
    <w:p>
      <w:pPr>
        <w:spacing w:after="0" w:line="1"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Donahue and GEO desire to amend the Agreement to reflect the modifications to Donahue's annual target bonus and annual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previously approved by the Compensation Committee.</w:t>
      </w:r>
    </w:p>
    <w:p>
      <w:pPr>
        <w:spacing w:after="0" w:line="1"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recitals and the affirmation of the existing mutual promises and covenants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for other good and valuable consideration, the sufficiency of which is hereby acknowledged, Donahue and GEO agree as follows:</w:t>
      </w:r>
    </w:p>
    <w:p>
      <w:pPr>
        <w:spacing w:after="0" w:line="1" w:lineRule="exact"/>
        <w:rPr>
          <w:sz w:val="20"/>
          <w:szCs w:val="20"/>
          <w:color w:val="auto"/>
        </w:rPr>
      </w:pPr>
    </w:p>
    <w:p>
      <w:pPr>
        <w:ind w:left="1120" w:hanging="363"/>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set forth above are true and correct.</w:t>
      </w:r>
    </w:p>
    <w:p>
      <w:pPr>
        <w:spacing w:after="0" w:line="9" w:lineRule="exact"/>
        <w:rPr>
          <w:rFonts w:ascii="Times New Roman" w:cs="Times New Roman" w:eastAsia="Times New Roman" w:hAnsi="Times New Roman"/>
          <w:sz w:val="18"/>
          <w:szCs w:val="18"/>
          <w:color w:val="auto"/>
        </w:rPr>
      </w:pPr>
    </w:p>
    <w:p>
      <w:pPr>
        <w:ind w:firstLine="757"/>
        <w:spacing w:after="0" w:line="250" w:lineRule="auto"/>
        <w:tabs>
          <w:tab w:leader="none" w:pos="11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this Amendment, including in the recitals set forth above, which are not otherwise defined herein, shall have the meanings given to such terms in the Agreement.</w:t>
      </w:r>
    </w:p>
    <w:p>
      <w:pPr>
        <w:ind w:firstLine="757"/>
        <w:spacing w:after="0" w:line="260" w:lineRule="auto"/>
        <w:tabs>
          <w:tab w:leader="none" w:pos="11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Amendment shall be August 4, 2025. For the avoidance of doubt, no term of this Amendment shall have any effect prior to such effective date.</w:t>
      </w:r>
    </w:p>
    <w:p>
      <w:pPr>
        <w:spacing w:after="0" w:line="18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4.B. of the Agreement shall be amended in its entirety as follows:</w:t>
      </w:r>
    </w:p>
    <w:p>
      <w:pPr>
        <w:spacing w:after="0" w:line="221"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Performance Award.</w:t>
      </w:r>
      <w:r>
        <w:rPr>
          <w:rFonts w:ascii="Times New Roman" w:cs="Times New Roman" w:eastAsia="Times New Roman" w:hAnsi="Times New Roman"/>
          <w:sz w:val="18"/>
          <w:szCs w:val="18"/>
          <w:color w:val="auto"/>
        </w:rPr>
        <w:t xml:space="preserve"> For each fiscal year of employment during which the Company employs the Executive, the Executive shall be entitled to receive a target annual performance award of one hundred fifty percent (150%) of Executive's Annual Base Salary, in accordance with the terms of any plan governing senior management</w:t>
      </w: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DOCPROPERTY "CUS_DocIDChunk0" 82350694;2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ind w:left="760"/>
        <w:spacing w:after="0" w:line="282" w:lineRule="auto"/>
        <w:rPr>
          <w:sz w:val="20"/>
          <w:szCs w:val="20"/>
          <w:color w:val="auto"/>
        </w:rPr>
      </w:pPr>
      <w:r>
        <w:rPr>
          <w:rFonts w:ascii="Times New Roman" w:cs="Times New Roman" w:eastAsia="Times New Roman" w:hAnsi="Times New Roman"/>
          <w:sz w:val="18"/>
          <w:szCs w:val="18"/>
          <w:color w:val="auto"/>
        </w:rPr>
        <w:t>performance awards then in effect as established by the Compensation Committee (the "Annual Performance Award"), with such Annual Performance Award to be paid in accordance with the terms of the applicable plan.</w:t>
      </w:r>
    </w:p>
    <w:p>
      <w:pPr>
        <w:spacing w:after="0" w:line="162" w:lineRule="exact"/>
        <w:rPr>
          <w:sz w:val="20"/>
          <w:szCs w:val="20"/>
          <w:color w:val="auto"/>
        </w:rPr>
      </w:pPr>
    </w:p>
    <w:p>
      <w:pPr>
        <w:ind w:left="1120" w:hanging="363"/>
        <w:spacing w:after="0"/>
        <w:tabs>
          <w:tab w:leader="none" w:pos="11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4.C. of the Agreement shall be amended in its entirety as follows:</w:t>
      </w:r>
    </w:p>
    <w:p>
      <w:pPr>
        <w:spacing w:after="0" w:line="221"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Incentive Plan.</w:t>
      </w:r>
      <w:r>
        <w:rPr>
          <w:rFonts w:ascii="Times New Roman" w:cs="Times New Roman" w:eastAsia="Times New Roman" w:hAnsi="Times New Roman"/>
          <w:sz w:val="18"/>
          <w:szCs w:val="18"/>
          <w:color w:val="auto"/>
        </w:rPr>
        <w:t xml:space="preserve"> Executive shall be entitled to receive an annual equity incentive award of restricted stock with a grant date fair value equal to at least one hundred and fifty percent (150%) of Executive's then current annual base salary that shall vest upon the attainment of certain performance goals in accordance with the terms of the Company's equity compensation plan."</w:t>
      </w:r>
    </w:p>
    <w:p>
      <w:pPr>
        <w:spacing w:after="0" w:line="175" w:lineRule="exact"/>
        <w:rPr>
          <w:sz w:val="20"/>
          <w:szCs w:val="20"/>
          <w:color w:val="auto"/>
        </w:rPr>
      </w:pPr>
    </w:p>
    <w:p>
      <w:pPr>
        <w:ind w:right="20" w:firstLine="757"/>
        <w:spacing w:after="0" w:line="282" w:lineRule="auto"/>
        <w:tabs>
          <w:tab w:leader="none" w:pos="11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and modified hereby, all the terms, provisions and conditions of the Agreement are hereby ratified and affirmed and shall remain in full force and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DOCPROPERTY "CUS_DocIDChunk0" 82350694;2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2" w:name="page63"/>
    <w:bookmarkEnd w:id="62"/>
    <w:p>
      <w:pPr>
        <w:ind w:left="280"/>
        <w:spacing w:after="0"/>
        <w:rPr>
          <w:sz w:val="20"/>
          <w:szCs w:val="20"/>
          <w:color w:val="auto"/>
        </w:rPr>
      </w:pPr>
      <w:r>
        <w:rPr>
          <w:rFonts w:ascii="Times New Roman" w:cs="Times New Roman" w:eastAsia="Times New Roman" w:hAnsi="Times New Roman"/>
          <w:sz w:val="17"/>
          <w:szCs w:val="17"/>
          <w:color w:val="auto"/>
        </w:rPr>
        <w:t>IN WITNESS WHEREOF, the parties have caused this Amendment to be executed and entered into as of the date and year first above written.</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J. David Donahue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/s/_J. David Donahue_____________________</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Date: August 4, 2025__________________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By: /s/ George C. Zoley_____________________</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Title:Executive Chairman</w:t>
      </w: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Printed Name: George C. Zoley_____________</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Date: August 4, 2025___________________</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 "CUS_DocIDChunk0" 82350694;2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400" w:top="1417" w:right="9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David Donahue,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GEO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David Donahue</w:t>
            </w:r>
          </w:p>
        </w:tc>
      </w:tr>
      <w:tr>
        <w:trPr>
          <w:trHeight w:val="191"/>
        </w:trPr>
        <w:tc>
          <w:tcPr>
            <w:tcW w:w="596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David Donahue</w:t>
            </w:r>
          </w:p>
        </w:tc>
      </w:tr>
      <w:tr>
        <w:trPr>
          <w:trHeight w:val="234"/>
        </w:trPr>
        <w:tc>
          <w:tcPr>
            <w:tcW w:w="5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59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J. Suchinski,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GEO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Suchinski</w:t>
            </w:r>
          </w:p>
        </w:tc>
      </w:tr>
      <w:tr>
        <w:trPr>
          <w:trHeight w:val="191"/>
        </w:trPr>
        <w:tc>
          <w:tcPr>
            <w:tcW w:w="596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34"/>
        </w:trPr>
        <w:tc>
          <w:tcPr>
            <w:tcW w:w="59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9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GEO Group, Inc. (the “Company”) for the period ended June 30, 2025 as filed with the Securities and Exchange Commission on the date hereof (the “Report”), I, J. David Donahue, Chief Executive Officer of the Company, hereby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David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David Donahue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GEO Group, Inc. (the “Company”) for the period ended June 30, 2025 as filed with the Securities and Exchange Commission on the date hereof (the “Report”), I, Mark J. Suchinski, Chief Financial Officer of the Company, hereby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J. Suchinski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 Suchinski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lvl w:ilvl="1">
      <w:lvlJc w:val="left"/>
      <w:lvlText w:val="(%2)"/>
      <w:numFmt w:val="decimal"/>
      <w:start w:val="1"/>
    </w:lvl>
  </w:abstractNum>
  <w:abstractNum w:abstractNumId="4">
    <w:nsid w:val="6B68079A"/>
    <w:multiLevelType w:val="hybridMultilevel"/>
    <w:lvl w:ilvl="0">
      <w:lvlJc w:val="left"/>
      <w:lvlText w:val="%1."/>
      <w:numFmt w:val="decimal"/>
      <w:start w:val="7"/>
    </w:lvl>
    <w:lvl w:ilvl="1">
      <w:lvlJc w:val="left"/>
      <w:lvlText w:val="%2"/>
      <w:numFmt w:val="decimal"/>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1."/>
      <w:numFmt w:val="decimal"/>
      <w:start w:val="12"/>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decimal"/>
      <w:start w:val="104"/>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decimal"/>
      <w:start w:val="6"/>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68" Type="http://schemas.openxmlformats.org/officeDocument/2006/relationships/hyperlink" Target="https://www.sec.gov/Archives/edgar/data/923796/000119312525137828/d936802dex101.htm" TargetMode="External"/><Relationship Id="rId369" Type="http://schemas.openxmlformats.org/officeDocument/2006/relationships/hyperlink" Target="https://www.sec.gov/Archives/edgar/data/923796/000119312525157618/d125048dex101.htm" TargetMode="External"/><Relationship Id="rId370" Type="http://schemas.openxmlformats.org/officeDocument/2006/relationships/hyperlink" Target="https://www.sec.gov/Archives/edgar/data/923796/000119312525160544/d9517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2025-08-06T15:53:32Z</dcterms:created>
  <dcterms:modified xsi:type="dcterms:W3CDTF">2025-08-06T15:53:32Z</dcterms:modified>
</cp:coreProperties>
</file>