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o-20260331.htm"/>
      <w:bookmarkStart w:id="1" w:name="ksgeo20260331"/>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w:t>
      </w:r>
      <w:r>
        <w:rPr>
          <w:rFonts w:ascii="Times New Roman" w:hAnsi="Times New Roman"/>
          <w:color w:val="000000"/>
          <w:sz w:val="20"/>
        </w:rPr>
        <w:t xml:space="preserve"> </w:t>
      </w:r>
      <w:r>
        <w:rPr>
          <w:rFonts w:ascii="Times New Roman" w:hAnsi="Times New Roman"/>
          <w:b/>
          <w:color w:val="000000"/>
          <w:sz w:val="20"/>
        </w:rPr>
        <w:t>31, 2026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center"/>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 to_______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1-14260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The GEO Group,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65-0043078</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4955 Technology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Boca Raton, 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(561)</w:t>
      </w:r>
      <w:r>
        <w:rPr>
          <w:rFonts w:ascii="Times New Roman" w:hAnsi="Times New Roman"/>
          <w:color w:val="000000"/>
          <w:sz w:val="20"/>
        </w:rPr>
        <w:t xml:space="preserve"> </w:t>
      </w:r>
      <w:r>
        <w:rPr>
          <w:rFonts w:ascii="Times New Roman" w:hAnsi="Times New Roman"/>
          <w:b/>
          <w:color w:val="000000"/>
          <w:sz w:val="20"/>
        </w:rPr>
        <w:t>893-0101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206" w:type="dxa"/>
        <w:jc w:val="left"/>
        <w:tblInd w:w="0" w:type="dxa"/>
        <w:tblLayout w:type="fixed"/>
        <w:tblCellMar>
          <w:top w:w="28" w:type="dxa"/>
          <w:left w:w="28" w:type="dxa"/>
          <w:bottom w:w="28" w:type="dxa"/>
          <w:right w:w="28" w:type="dxa"/>
        </w:tblCellMar>
      </w:tblPr>
      <w:tblGrid>
        <w:gridCol w:w="3661"/>
        <w:gridCol w:w="109"/>
        <w:gridCol w:w="1621"/>
        <w:gridCol w:w="109"/>
        <w:gridCol w:w="370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1921"/>
        <w:gridCol w:w="37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4, 2026, the registrant had 133,618,284 shares of common stock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(UNAUDITED) FOR THE THREE MONTHS ENDED MARCH 31,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(UNAUDITED) FOR THE THREE MONTHS ENDED MARCH 31, 2026 AND 202</w:t>
              </w:r>
            </w:hyperlink>
            <w:r>
              <w:rPr>
                <w:rFonts w:ascii="Times New Roman" w:hAnsi="Times New Roman"/>
                <w:color w:val="000000"/>
                <w:sz w:val="20"/>
              </w:rPr>
              <w:t>5</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MARCH 31, 2026 (UNAUDITED) AND DECEMBER 31,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(UNAUDITED) FOR THE THREE MONTHS ENDED MARCH 31, 2026 AND 202</w:t>
              </w:r>
            </w:hyperlink>
            <w:r>
              <w:rPr>
                <w:rFonts w:ascii="Times New Roman" w:hAnsi="Times New Roman"/>
                <w:color w:val="000000"/>
                <w:sz w:val="20"/>
              </w:rPr>
              <w:t>5</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30</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48</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w:t>
      </w:r>
    </w:p>
    <w:p>
      <w:pPr>
        <w:pStyle w:val="TextBody"/>
        <w:bidi w:val="0"/>
        <w:jc w:val="center"/>
        <w:rPr>
          <w:rFonts w:ascii="Times New Roman" w:hAnsi="Times New Roman"/>
          <w:sz w:val="20"/>
        </w:rPr>
      </w:pPr>
      <w:r>
        <w:rPr>
          <w:rFonts w:ascii="Times New Roman" w:hAnsi="Times New Roman"/>
          <w:b/>
          <w:color w:val="000000"/>
          <w:sz w:val="20"/>
        </w:rPr>
        <w:t>MARCH 31,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720" w:type="dxa"/>
        <w:jc w:val="left"/>
        <w:tblInd w:w="0" w:type="dxa"/>
        <w:tblLayout w:type="fixed"/>
        <w:tblCellMar>
          <w:top w:w="28" w:type="dxa"/>
          <w:left w:w="28" w:type="dxa"/>
          <w:bottom w:w="28" w:type="dxa"/>
          <w:right w:w="28" w:type="dxa"/>
        </w:tblCellMar>
      </w:tblPr>
      <w:tblGrid>
        <w:gridCol w:w="6351"/>
        <w:gridCol w:w="146"/>
        <w:gridCol w:w="268"/>
        <w:gridCol w:w="992"/>
        <w:gridCol w:w="166"/>
        <w:gridCol w:w="146"/>
        <w:gridCol w:w="268"/>
        <w:gridCol w:w="992"/>
        <w:gridCol w:w="391"/>
      </w:tblGrid>
      <w:tr>
        <w:trPr/>
        <w:tc>
          <w:tcPr>
            <w:tcW w:w="6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affiliates, net of income tax provision of</w:t>
              <w:br/>
              <w:t>   $216 and $230,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sz w:val="20"/>
        </w:rPr>
      </w:pPr>
      <w:bookmarkStart w:id="6" w:name="consolidated_statements_comprehensive_in"/>
      <w:bookmarkEnd w:id="6"/>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w:t>
      </w:r>
    </w:p>
    <w:p>
      <w:pPr>
        <w:pStyle w:val="TextBody"/>
        <w:bidi w:val="0"/>
        <w:jc w:val="center"/>
        <w:rPr>
          <w:rFonts w:ascii="Times New Roman" w:hAnsi="Times New Roman"/>
          <w:sz w:val="20"/>
        </w:rPr>
      </w:pPr>
      <w:r>
        <w:rPr>
          <w:rFonts w:ascii="Times New Roman" w:hAnsi="Times New Roman"/>
          <w:b/>
          <w:color w:val="000000"/>
          <w:sz w:val="20"/>
        </w:rPr>
        <w:t>MARCH 31,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1"/>
        <w:gridCol w:w="146"/>
        <w:gridCol w:w="286"/>
        <w:gridCol w:w="920"/>
        <w:gridCol w:w="166"/>
        <w:gridCol w:w="146"/>
        <w:gridCol w:w="286"/>
        <w:gridCol w:w="920"/>
        <w:gridCol w:w="414"/>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marketable securities, net of tax (benefit) provision of $(82) and $63,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liability adjustment, net of tax provision (benefit)</w:t>
              <w:br/>
              <w:t>   of $2 and $(13),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w:t>
              <w:br/>
              <w:t xml:space="preserve">   classified as cash flow hedge, net of tax provision (benefit) of </w:t>
              <w:br/>
              <w:t>   $13 and $(182),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7" w:name="consolidated_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MARCH 31, 2026</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0"/>
        <w:gridCol w:w="146"/>
        <w:gridCol w:w="219"/>
        <w:gridCol w:w="968"/>
        <w:gridCol w:w="166"/>
        <w:gridCol w:w="146"/>
        <w:gridCol w:w="236"/>
        <w:gridCol w:w="1042"/>
        <w:gridCol w:w="612"/>
      </w:tblGrid>
      <w:tr>
        <w:trPr/>
        <w:tc>
          <w:tcPr>
            <w:tcW w:w="6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68,995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credit loss reserve of $897 and $857,</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593,463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53,073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179,366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1,884,198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756,028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117,332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82,086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197,530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finance lease liabilities and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356,891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99,689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176,083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1,649,268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Commitments, Contingencies</w:t>
            </w:r>
            <w:r>
              <w:rPr>
                <w:rFonts w:ascii="Times New Roman" w:hAnsi="Times New Roman"/>
                <w:color w:val="000000"/>
                <w:sz w:val="20"/>
              </w:rPr>
              <w:t> </w:t>
            </w:r>
            <w:r>
              <w:rPr>
                <w:rFonts w:ascii="Times New Roman" w:hAnsi="Times New Roman"/>
                <w:b/>
                <w:i/>
                <w:color w:val="000000"/>
                <w:sz w:val="20"/>
              </w:rPr>
              <w:t xml:space="preserve">and Other Matters </w:t>
            </w:r>
            <w:r>
              <w:rPr>
                <w:rFonts w:ascii="Times New Roman" w:hAnsi="Times New Roman"/>
                <w:color w:val="000000"/>
                <w:sz w:val="20"/>
              </w:rPr>
              <w:t>(Note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30,000,000 shares authorized,</w:t>
              <w:br/>
              <w:t>   none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225,000,000 shares authorized, 137,233,919 and 141,182,435 issued and 133,674,671 and 136,242,983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1,319,135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294,252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Treasury stock, 8,498,700</w:t>
            </w:r>
            <w:r>
              <w:rPr>
                <w:rFonts w:ascii="Times New Roman" w:hAnsi="Times New Roman"/>
                <w:color w:val="000000"/>
                <w:sz w:val="20"/>
              </w:rPr>
              <w:t> </w:t>
            </w:r>
            <w:r>
              <w:rPr>
                <w:rFonts w:ascii="Times New Roman" w:hAnsi="Times New Roman"/>
                <w:b/>
                <w:i/>
                <w:color w:val="000000"/>
                <w:sz w:val="20"/>
              </w:rPr>
              <w:t>and 4,939,452</w:t>
            </w:r>
            <w:r>
              <w:rPr>
                <w:rFonts w:ascii="Times New Roman" w:hAnsi="Times New Roman"/>
                <w:color w:val="000000"/>
                <w:sz w:val="20"/>
              </w:rPr>
              <w:t> </w:t>
            </w:r>
            <w:r>
              <w:rPr>
                <w:rFonts w:ascii="Times New Roman" w:hAnsi="Times New Roman"/>
                <w:b/>
                <w:i/>
                <w:color w:val="000000"/>
                <w:sz w:val="20"/>
              </w:rPr>
              <w:t>shares, at cost,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(91,021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1,505,806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1,504,134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w:t>
      </w:r>
    </w:p>
    <w:p>
      <w:pPr>
        <w:pStyle w:val="TextBody"/>
        <w:bidi w:val="0"/>
        <w:jc w:val="center"/>
        <w:rPr>
          <w:rFonts w:ascii="Times New Roman" w:hAnsi="Times New Roman"/>
          <w:sz w:val="20"/>
        </w:rPr>
      </w:pPr>
      <w:r>
        <w:rPr>
          <w:rFonts w:ascii="Times New Roman" w:hAnsi="Times New Roman"/>
          <w:b/>
          <w:color w:val="000000"/>
          <w:sz w:val="20"/>
        </w:rPr>
        <w:t>MARCH 31, 2026</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780" w:type="dxa"/>
        <w:jc w:val="left"/>
        <w:tblInd w:w="0" w:type="dxa"/>
        <w:tblLayout w:type="fixed"/>
        <w:tblCellMar>
          <w:top w:w="28" w:type="dxa"/>
          <w:left w:w="28" w:type="dxa"/>
          <w:bottom w:w="28" w:type="dxa"/>
          <w:right w:w="28" w:type="dxa"/>
        </w:tblCellMar>
      </w:tblPr>
      <w:tblGrid>
        <w:gridCol w:w="6191"/>
        <w:gridCol w:w="146"/>
        <w:gridCol w:w="260"/>
        <w:gridCol w:w="1000"/>
        <w:gridCol w:w="166"/>
        <w:gridCol w:w="146"/>
        <w:gridCol w:w="278"/>
        <w:gridCol w:w="982"/>
        <w:gridCol w:w="611"/>
      </w:tblGrid>
      <w:tr>
        <w:trPr/>
        <w:tc>
          <w:tcPr>
            <w:tcW w:w="6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attributable to The GEO Group, Inc.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issuance costs, discount and/or premium and other non-cash</w:t>
              <w:br/>
              <w: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in earnings of affiliates,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received from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Realized/unrealized loss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sale/disposal of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assets and liabilities, net of effects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accounts receivable,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real estate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paid related to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in connection with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for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(117,294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(49,423</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br/>
              <w:t>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obtained from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180" w:after="283"/>
        <w:jc w:val="center"/>
        <w:rPr>
          <w:rFonts w:ascii="Times New Roman" w:hAnsi="Times New Roman"/>
          <w:b/>
          <w:color w:val="000000"/>
          <w:sz w:val="20"/>
        </w:rPr>
      </w:pPr>
      <w:bookmarkStart w:id="9" w:name="notes_to_unaudited_consolidated_financia"/>
      <w:bookmarkEnd w:id="9"/>
      <w:r>
        <w:rPr>
          <w:rFonts w:ascii="Times New Roman" w:hAnsi="Times New Roman"/>
          <w:b/>
          <w:color w:val="000000"/>
          <w:sz w:val="20"/>
        </w:rPr>
        <w:t>NOTES TO UNAUDITED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GEO Group, Inc., a Florida corporation, and subsidiaries (the “Company” or “GEO”) specialize in the ownership, leasing and management of secure facilities, processing centers and community reentry centers in the United States, Australia and South Africa. The Company owns, leases and operates a broad range of facilities including maximum, medium and minimum 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individuals as contracted domestically and in the United Kingdom through its joint venture GEOAmey Ltd. (“GEOAmey”). At March 31, 2026, the Company’s worldwide operations include the management and/or ownership of approximately 75,000 beds at 96 facilities, including idle facilities, and also include the provision of reentry and electronic monitoring and supervision services for thousands of individuals, including an array of technology products including radio frequency, GPS, and alcohol monitoring devices.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unaudited consolidated financial statements included in this Quarterly Report on Form 10-Q have been prepared in accordance with accounting principles generally accepted in the United States (“GAAP”) and the instructions to Form 10-Q and consequently do not include all disclosures required by Form 10-K. The accounting policies followed for quarterly financial reporting are the same as those disclosed in the Notes to Consolidated Financial Statements included in the Company’s Annual Report on Form 10-K filed with the Securities and Exchange Commission on February 25, 2026 for the year ended December 31, 2025. The accompanying December 31, 2025 consolidated balance sheet has been derived from those audited financial statements. Additional information may be obtained by referring to the Company’s Form 10-K for the year ended December 31, 2025. In the opinion of management, all adjustments (consisting only of normal recurring items) necessary for a fair presentation of the financial information for the interim periods reported in this Quarterly Report on Form 10-Q have been made. Results of operations for the three months ended March 31, 2026 are not necessarily indicative of the results for the entire year ending December 31, 2026, or for any other future interim or annual periods.</w:t>
      </w:r>
    </w:p>
    <w:p>
      <w:pPr>
        <w:pStyle w:val="TextBody"/>
        <w:bidi w:val="0"/>
        <w:spacing w:before="18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2. GOODWILL AND OTHER INTANGIBLE ASSETS</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from January 1, 2026 to March 31, 2026 are as follows (in thousands):</w:t>
      </w:r>
    </w:p>
    <w:p>
      <w:pPr>
        <w:pStyle w:val="TextBody"/>
        <w:bidi w:val="0"/>
        <w:jc w:val="left"/>
        <w:rPr/>
      </w:pPr>
      <w:r>
        <w:rPr/>
        <w:t> </w:t>
      </w:r>
    </w:p>
    <w:tbl>
      <w:tblPr>
        <w:tblW w:w="8619" w:type="dxa"/>
        <w:jc w:val="left"/>
        <w:tblInd w:w="0" w:type="dxa"/>
        <w:tblLayout w:type="fixed"/>
        <w:tblCellMar>
          <w:top w:w="28" w:type="dxa"/>
          <w:left w:w="28" w:type="dxa"/>
          <w:bottom w:w="28" w:type="dxa"/>
          <w:right w:w="28" w:type="dxa"/>
        </w:tblCellMar>
      </w:tblPr>
      <w:tblGrid>
        <w:gridCol w:w="4036"/>
        <w:gridCol w:w="146"/>
        <w:gridCol w:w="211"/>
        <w:gridCol w:w="781"/>
        <w:gridCol w:w="146"/>
        <w:gridCol w:w="146"/>
        <w:gridCol w:w="533"/>
        <w:gridCol w:w="877"/>
        <w:gridCol w:w="146"/>
        <w:gridCol w:w="146"/>
        <w:gridCol w:w="268"/>
        <w:gridCol w:w="992"/>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recorded other finite and indefinite-lived intangible assets as a result of its various business combinations. The Company's intangible assets include facility management contracts and trade names and technology, as follows (in thousands):</w:t>
      </w:r>
    </w:p>
    <w:p>
      <w:pPr>
        <w:pStyle w:val="TextBody"/>
        <w:bidi w:val="0"/>
        <w:jc w:val="left"/>
        <w:rPr/>
      </w:pPr>
      <w:r>
        <w:rPr/>
        <w:t> </w:t>
      </w:r>
    </w:p>
    <w:tbl>
      <w:tblPr>
        <w:tblW w:w="10316" w:type="dxa"/>
        <w:jc w:val="left"/>
        <w:tblInd w:w="0" w:type="dxa"/>
        <w:tblLayout w:type="fixed"/>
        <w:tblCellMar>
          <w:top w:w="28" w:type="dxa"/>
          <w:left w:w="28" w:type="dxa"/>
          <w:bottom w:w="28" w:type="dxa"/>
          <w:right w:w="28" w:type="dxa"/>
        </w:tblCellMar>
      </w:tblPr>
      <w:tblGrid>
        <w:gridCol w:w="1156"/>
        <w:gridCol w:w="146"/>
        <w:gridCol w:w="213"/>
        <w:gridCol w:w="688"/>
        <w:gridCol w:w="146"/>
        <w:gridCol w:w="146"/>
        <w:gridCol w:w="211"/>
        <w:gridCol w:w="781"/>
        <w:gridCol w:w="146"/>
        <w:gridCol w:w="146"/>
        <w:gridCol w:w="216"/>
        <w:gridCol w:w="865"/>
        <w:gridCol w:w="166"/>
        <w:gridCol w:w="146"/>
        <w:gridCol w:w="211"/>
        <w:gridCol w:w="781"/>
        <w:gridCol w:w="146"/>
        <w:gridCol w:w="146"/>
        <w:gridCol w:w="211"/>
        <w:gridCol w:w="781"/>
        <w:gridCol w:w="146"/>
        <w:gridCol w:w="146"/>
        <w:gridCol w:w="216"/>
        <w:gridCol w:w="865"/>
        <w:gridCol w:w="166"/>
        <w:gridCol w:w="146"/>
        <w:gridCol w:w="211"/>
        <w:gridCol w:w="781"/>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management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was $1.9 million and $2.3 million for the three months ended March 31, 2026 and 2025, respectively. The Company records the costs associated with renewal and extension of facility management contracts as expenses in the period they are incurred. As of March 31, 2026, the weighted average period before the next contract renewal or extension for the acquired facility management contracts was approximately 1.5 years.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Estimated amortization expense related to the Company's finite-lived intangible assets for the remainder of 2026 through 2030 and thereafter is as follows (in thousands):</w:t>
      </w:r>
    </w:p>
    <w:p>
      <w:pPr>
        <w:pStyle w:val="TextBody"/>
        <w:bidi w:val="0"/>
        <w:jc w:val="left"/>
        <w:rPr/>
      </w:pPr>
      <w:r>
        <w:rPr/>
        <w:t> </w:t>
      </w:r>
    </w:p>
    <w:tbl>
      <w:tblPr>
        <w:tblW w:w="3099" w:type="dxa"/>
        <w:jc w:val="left"/>
        <w:tblInd w:w="0" w:type="dxa"/>
        <w:tblLayout w:type="fixed"/>
        <w:tblCellMar>
          <w:top w:w="28" w:type="dxa"/>
          <w:left w:w="28" w:type="dxa"/>
          <w:bottom w:w="28" w:type="dxa"/>
          <w:right w:w="28" w:type="dxa"/>
        </w:tblCellMar>
      </w:tblPr>
      <w:tblGrid>
        <w:gridCol w:w="1681"/>
        <w:gridCol w:w="146"/>
        <w:gridCol w:w="257"/>
        <w:gridCol w:w="824"/>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3. FINANCIAL INSTRUMENTS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tables provide a summary of the Company’s significant financial assets and liabilities carried at fair value and measured on a recurring basis as of March 31,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307"/>
        <w:gridCol w:w="987"/>
        <w:gridCol w:w="146"/>
        <w:gridCol w:w="146"/>
        <w:gridCol w:w="315"/>
        <w:gridCol w:w="853"/>
        <w:gridCol w:w="166"/>
        <w:gridCol w:w="166"/>
        <w:gridCol w:w="316"/>
        <w:gridCol w:w="979"/>
        <w:gridCol w:w="166"/>
        <w:gridCol w:w="166"/>
        <w:gridCol w:w="456"/>
        <w:gridCol w:w="749"/>
        <w:gridCol w:w="597"/>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March 31, 2026</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306"/>
        <w:gridCol w:w="984"/>
        <w:gridCol w:w="146"/>
        <w:gridCol w:w="146"/>
        <w:gridCol w:w="313"/>
        <w:gridCol w:w="849"/>
        <w:gridCol w:w="175"/>
        <w:gridCol w:w="175"/>
        <w:gridCol w:w="315"/>
        <w:gridCol w:w="976"/>
        <w:gridCol w:w="175"/>
        <w:gridCol w:w="175"/>
        <w:gridCol w:w="455"/>
        <w:gridCol w:w="748"/>
        <w:gridCol w:w="600"/>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2 financial instruments included in the tables above as of March 31, 2026 and December 31, 2025 consist of interest rate swap derivative assets held by GEO, investments in equity and fixed income securities held in the Company’s captive insurance subsidiary, Florina Insurance Company, Inc. ("Florina") and investments in mutual funds held in the Company's rabbi trust established for employer contributions to The GEO Group, Inc. Non-qualified Deferred Compensation Plan. The Company's Level 1 financial instruments included in the table above as of March 31, 2026 consist of money market funds held in Florina. The interest rate swap derivative assets are valued using a discounted cash flow model based on projected borrowing rates. The Company's restricted investment in the rabbi trust for The GEO Group, Inc. Non-qualified Deferred Compensation Plan is invested in equity and fixed income pooled funds. The marketable equity and fixed income securities are valued using quoted rates. </w:t>
      </w:r>
    </w:p>
    <w:p>
      <w:pPr>
        <w:pStyle w:val="TextBody"/>
        <w:bidi w:val="0"/>
        <w:spacing w:before="18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FAIR VALUE OF ASSETS AND LIABILITIES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Company’s consolidated balance sheets reflect certain financial assets and liabilities at carrying value. The carrying value of certain debt instruments, if applicable, is net of unamortized discount. The following tables present the carrying values of those financial instruments and the estimated corresponding fair values at March 31,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3"/>
        <w:gridCol w:w="146"/>
        <w:gridCol w:w="289"/>
        <w:gridCol w:w="1073"/>
        <w:gridCol w:w="146"/>
        <w:gridCol w:w="146"/>
        <w:gridCol w:w="211"/>
        <w:gridCol w:w="781"/>
        <w:gridCol w:w="146"/>
        <w:gridCol w:w="146"/>
        <w:gridCol w:w="211"/>
        <w:gridCol w:w="781"/>
        <w:gridCol w:w="146"/>
        <w:gridCol w:w="146"/>
        <w:gridCol w:w="211"/>
        <w:gridCol w:w="781"/>
        <w:gridCol w:w="146"/>
        <w:gridCol w:w="146"/>
        <w:gridCol w:w="234"/>
        <w:gridCol w:w="383"/>
        <w:gridCol w:w="593"/>
      </w:tblGrid>
      <w:tr>
        <w:trPr/>
        <w:tc>
          <w:tcPr>
            <w:tcW w:w="3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March 31, 2026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w:t>
              <w:br/>
              <w:t>of 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2"/>
        <w:gridCol w:w="146"/>
        <w:gridCol w:w="291"/>
        <w:gridCol w:w="1081"/>
        <w:gridCol w:w="146"/>
        <w:gridCol w:w="146"/>
        <w:gridCol w:w="213"/>
        <w:gridCol w:w="790"/>
        <w:gridCol w:w="147"/>
        <w:gridCol w:w="147"/>
        <w:gridCol w:w="213"/>
        <w:gridCol w:w="683"/>
        <w:gridCol w:w="147"/>
        <w:gridCol w:w="147"/>
        <w:gridCol w:w="213"/>
        <w:gridCol w:w="790"/>
        <w:gridCol w:w="147"/>
        <w:gridCol w:w="147"/>
        <w:gridCol w:w="234"/>
        <w:gridCol w:w="384"/>
        <w:gridCol w:w="601"/>
      </w:tblGrid>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2025</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w:t>
              <w:br/>
              <w:t>of 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cash and cash equivalents, and restricted cash and investments approximates the carrying values of these assets at March 31, 2026 and December 31, 2025. Restricted cash consists of money market funds, bank deposits, commercial paper and time deposits used for asset replacement funds and other funds contractually required to be maintained at the Company's Australian subsidiary. It also includes cash on hand in the Company’s captive insurance subsidiary, Florina. The fair value of the money market funds and bank deposits is based on quoted market prices (Level 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March 31, 2026 and December 31, 2025, the recurring fair values of the Company's 8.625% Secured Notes due 2029 and the 10.250% Senior Notes due 2031 are based on Level 2 inputs using quotations by major market news services, such as Bloomberg. The fair value of the Company's Credit Agreement was also based on quotations by major market news services and also estimates of trading value considering the Company's borrowing rate, the undrawn spread and similar instruments.</w:t>
      </w:r>
    </w:p>
    <w:p>
      <w:pPr>
        <w:pStyle w:val="TextBody"/>
        <w:bidi w:val="0"/>
        <w:spacing w:before="180" w:after="283"/>
        <w:jc w:val="left"/>
        <w:rPr/>
      </w:pPr>
      <w:r>
        <w:rPr/>
        <w:t> </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RESTRICTED CASH AND CASH EQUIVALENTS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and cash equivalents reported on the consolidated balance sheets that sum to the total of the same such amounts shown in the consolidated statements of cash flows:</w:t>
      </w:r>
    </w:p>
    <w:p>
      <w:pPr>
        <w:pStyle w:val="TextBody"/>
        <w:bidi w:val="0"/>
        <w:jc w:val="left"/>
        <w:rPr/>
      </w:pPr>
      <w:r>
        <w:rPr/>
        <w:t> </w:t>
      </w:r>
    </w:p>
    <w:tbl>
      <w:tblPr>
        <w:tblW w:w="7469" w:type="dxa"/>
        <w:jc w:val="left"/>
        <w:tblInd w:w="0" w:type="dxa"/>
        <w:tblLayout w:type="fixed"/>
        <w:tblCellMar>
          <w:top w:w="28" w:type="dxa"/>
          <w:left w:w="28" w:type="dxa"/>
          <w:bottom w:w="28" w:type="dxa"/>
          <w:right w:w="28" w:type="dxa"/>
        </w:tblCellMar>
      </w:tblPr>
      <w:tblGrid>
        <w:gridCol w:w="4696"/>
        <w:gridCol w:w="146"/>
        <w:gridCol w:w="211"/>
        <w:gridCol w:w="841"/>
        <w:gridCol w:w="166"/>
        <w:gridCol w:w="146"/>
        <w:gridCol w:w="211"/>
        <w:gridCol w:w="841"/>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Restricted investments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and cash</w:t>
              <w:br/>
              <w:t>   equivalents shown in the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Amounts included in restricted cash and cash equivalents are attributable to certain contractual cash restriction requirements at the Company's wholly owned Australian subsidiary, asset replacement funds contractually required to be maintained and other guarantees and cash on hand in the Company’s captive insurance subsidiary, Florina. Restricted investments - non-current (included in Restricted Cash and Investments in the accompanying consolidated balance sheets) consists of the Company's rabbi trust established for employee and employer contributions to The GEO Group, Inc. Non-qualified Deferred Compensation Plan, its rabbi trust established for its Chairman and Chief Executive Officer's retirement account held in a money market fund, investments in equity and fixed income securities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3 - Financial Instruments.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6. SHAREHOLDERS’ EQUITY</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following tables present the changes in shareholders’ equity that are attributable to the Company’s shareholders and to noncontrolling interests for the three months ended March 31, 2026 and 2025 (in thousands): </w:t>
      </w:r>
    </w:p>
    <w:p>
      <w:pPr>
        <w:pStyle w:val="TextBody"/>
        <w:bidi w:val="0"/>
        <w:jc w:val="left"/>
        <w:rPr/>
      </w:pPr>
      <w:r>
        <w:rPr/>
        <w:t> </w:t>
      </w:r>
    </w:p>
    <w:tbl>
      <w:tblPr>
        <w:tblW w:w="10740"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51"/>
        <w:gridCol w:w="146"/>
        <w:gridCol w:w="181"/>
        <w:gridCol w:w="691"/>
        <w:gridCol w:w="151"/>
        <w:gridCol w:w="146"/>
        <w:gridCol w:w="181"/>
        <w:gridCol w:w="586"/>
        <w:gridCol w:w="146"/>
        <w:gridCol w:w="146"/>
        <w:gridCol w:w="224"/>
        <w:gridCol w:w="692"/>
        <w:gridCol w:w="151"/>
        <w:gridCol w:w="146"/>
        <w:gridCol w:w="146"/>
        <w:gridCol w:w="436"/>
        <w:gridCol w:w="146"/>
        <w:gridCol w:w="146"/>
        <w:gridCol w:w="181"/>
        <w:gridCol w:w="631"/>
        <w:gridCol w:w="151"/>
        <w:gridCol w:w="146"/>
        <w:gridCol w:w="238"/>
        <w:gridCol w:w="633"/>
        <w:gridCol w:w="151"/>
        <w:gridCol w:w="146"/>
        <w:gridCol w:w="181"/>
        <w:gridCol w:w="691"/>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Three Months Ended</w:t>
              <w:br/>
              <w: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136,243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1,319,135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294,252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1,504,134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shares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(50,103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Shares withheld for net</w:t>
              <w:br/>
              <w:t>   settlements of share-</w:t>
              <w:br/>
              <w:t>   based awards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38,306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133,675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1,321,056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(141,124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1,495,556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434"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51"/>
        <w:gridCol w:w="146"/>
        <w:gridCol w:w="181"/>
        <w:gridCol w:w="691"/>
        <w:gridCol w:w="151"/>
        <w:gridCol w:w="146"/>
        <w:gridCol w:w="219"/>
        <w:gridCol w:w="622"/>
        <w:gridCol w:w="146"/>
        <w:gridCol w:w="146"/>
        <w:gridCol w:w="224"/>
        <w:gridCol w:w="692"/>
        <w:gridCol w:w="151"/>
        <w:gridCol w:w="146"/>
        <w:gridCol w:w="146"/>
        <w:gridCol w:w="346"/>
        <w:gridCol w:w="146"/>
        <w:gridCol w:w="146"/>
        <w:gridCol w:w="181"/>
        <w:gridCol w:w="346"/>
        <w:gridCol w:w="146"/>
        <w:gridCol w:w="146"/>
        <w:gridCol w:w="238"/>
        <w:gridCol w:w="633"/>
        <w:gridCol w:w="151"/>
        <w:gridCol w:w="146"/>
        <w:gridCol w:w="181"/>
        <w:gridCol w:w="691"/>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 (Accumulated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Three Months Ended</w:t>
              <w:br/>
              <w: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1,315,256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1,333,414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 of</w:t>
              <w:br/>
              <w:t>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Shares withheld for net</w:t>
              <w:br/>
              <w:t>   settlements of share-</w:t>
              <w:br/>
              <w:t>   based awards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1,302,903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1,341,549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Company withheld shares through net settlements to satisfy statutory tax withholding requirements upon the vesting of shares</w:t>
      </w:r>
    </w:p>
    <w:p>
      <w:pPr>
        <w:pStyle w:val="TextBody"/>
        <w:bidi w:val="0"/>
        <w:jc w:val="left"/>
        <w:rPr>
          <w:rFonts w:ascii="Times New Roman" w:hAnsi="Times New Roman"/>
          <w:color w:val="000000"/>
          <w:sz w:val="20"/>
        </w:rPr>
      </w:pPr>
      <w:r>
        <w:rPr>
          <w:rFonts w:ascii="Times New Roman" w:hAnsi="Times New Roman"/>
          <w:color w:val="000000"/>
          <w:sz w:val="20"/>
        </w:rPr>
        <w:t>of restricted stock held by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During the first quarter of 2026, the Company repurchased 3,559,248 shares of its common stock in the open market.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4, 2025, the Company's Board of Directors ("Board") authorized and approved a Share Repurchase Program covering the repurchase of up to $300 million of shares of the Company's common stock through an expiration date of June 30, 2028. On November 4, 2025, the Board authorized and approved an increase to the size of the Share Repurchase Program from $300 million to $500 million and also extended the expiration date from June 30, 2028 to December 31, 2029. Repurchases of the Company's common stock will be made in accordance with applicable securities laws and may be made at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the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the Company to purchase any particular amount of the Company’s common stock. During the first quarter of 2026, the Company repurchased 3,559,248 shares of its common stock under the program.</w:t>
      </w:r>
    </w:p>
    <w:p>
      <w:pPr>
        <w:pStyle w:val="TextBody"/>
        <w:bidi w:val="0"/>
        <w:spacing w:before="90" w:after="16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three months ended March 31, 2026 or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Comprehensive income (loss) represents the change in shareholders' equity from transactions and other events and circumstances arising from non-shareholder sources. The Company's total comprehensive income (loss) is comprised of net income (loss) attributable to GEO, net loss attributable to noncontrolling interests, foreign currency translation adjustments that arise from consolidating foreign operations that do not impact cash flows, net unrealized gains and/or losses on derivative instruments, marketable securities and pension liability adjustments within shareholders' equity and comprehensive income (loss).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accumulated other comprehensive loss attributable to GEO within shareholders' equity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46"/>
        <w:gridCol w:w="260"/>
        <w:gridCol w:w="912"/>
        <w:gridCol w:w="166"/>
        <w:gridCol w:w="146"/>
        <w:gridCol w:w="255"/>
        <w:gridCol w:w="691"/>
        <w:gridCol w:w="146"/>
        <w:gridCol w:w="146"/>
        <w:gridCol w:w="590"/>
        <w:gridCol w:w="1352"/>
        <w:gridCol w:w="166"/>
        <w:gridCol w:w="146"/>
        <w:gridCol w:w="340"/>
        <w:gridCol w:w="681"/>
        <w:gridCol w:w="146"/>
        <w:gridCol w:w="146"/>
        <w:gridCol w:w="211"/>
        <w:gridCol w:w="736"/>
        <w:gridCol w:w="214"/>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br/>
              <w:t>adjustments,</w:t>
              <w:br/>
              <w:t>net of tax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in fair</w:t>
              <w:br/>
              <w:t>value of</w:t>
              <w:br/>
              <w:t>derivatives,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8"/>
        <w:gridCol w:w="146"/>
        <w:gridCol w:w="260"/>
        <w:gridCol w:w="911"/>
        <w:gridCol w:w="166"/>
        <w:gridCol w:w="146"/>
        <w:gridCol w:w="255"/>
        <w:gridCol w:w="691"/>
        <w:gridCol w:w="166"/>
        <w:gridCol w:w="146"/>
        <w:gridCol w:w="641"/>
        <w:gridCol w:w="1284"/>
        <w:gridCol w:w="166"/>
        <w:gridCol w:w="146"/>
        <w:gridCol w:w="275"/>
        <w:gridCol w:w="746"/>
        <w:gridCol w:w="166"/>
        <w:gridCol w:w="146"/>
        <w:gridCol w:w="211"/>
        <w:gridCol w:w="736"/>
        <w:gridCol w:w="213"/>
      </w:tblGrid>
      <w:tr>
        <w:trPr/>
        <w:tc>
          <w:tcPr>
            <w:tcW w:w="2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br/>
              <w:t>adjustments,</w:t>
              <w:br/>
              <w:t>net of tax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in fair</w:t>
              <w:br/>
              <w:t>value of</w:t>
              <w:br/>
              <w:t>derivatives,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foreign currency translation related to noncontrolling interests was not significant at March 31, 2026 or 2025.</w:t>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7. EQUITY INCENTIVE PLANS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Board adopted The GEO Group, Inc. Second Amended and Restated 2018 Stock Incentive Plan (the “Amended 2018 Plan”), which was approved by the Company's shareholders and became effective on May 3, 2024. The Amended 2018 Plan supersedes the previous 2018 Stock Incentive Plan. As of the date the Amended 2018 Plan was approved by the Company’s shareholders, it provided for a reserve of an additional 12,400,000 shares of common stock that may be issued pursuant to awards granted under the Amended 2018 Plan. The Company filed a Form S-8 registration statement related to the Amended 2018 Plan on May 7, 2024.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uses a Black-Scholes option valuation model to estimate the fair value of each time-based or performance-based option awarded. A summary of the activity of stock option awards issued and outstanding under Company plans was as follows for the three months ended March 31, 2026:</w:t>
      </w:r>
    </w:p>
    <w:p>
      <w:pPr>
        <w:pStyle w:val="TextBody"/>
        <w:bidi w:val="0"/>
        <w:jc w:val="left"/>
        <w:rPr/>
      </w:pPr>
      <w:r>
        <w:rPr/>
        <w:t> </w:t>
      </w:r>
    </w:p>
    <w:tbl>
      <w:tblPr>
        <w:tblW w:w="10164" w:type="dxa"/>
        <w:jc w:val="left"/>
        <w:tblInd w:w="0" w:type="dxa"/>
        <w:tblLayout w:type="fixed"/>
        <w:tblCellMar>
          <w:top w:w="28" w:type="dxa"/>
          <w:left w:w="28" w:type="dxa"/>
          <w:bottom w:w="28" w:type="dxa"/>
          <w:right w:w="28" w:type="dxa"/>
        </w:tblCellMar>
      </w:tblPr>
      <w:tblGrid>
        <w:gridCol w:w="4576"/>
        <w:gridCol w:w="146"/>
        <w:gridCol w:w="229"/>
        <w:gridCol w:w="896"/>
        <w:gridCol w:w="166"/>
        <w:gridCol w:w="146"/>
        <w:gridCol w:w="230"/>
        <w:gridCol w:w="625"/>
        <w:gridCol w:w="146"/>
        <w:gridCol w:w="146"/>
        <w:gridCol w:w="250"/>
        <w:gridCol w:w="800"/>
        <w:gridCol w:w="146"/>
        <w:gridCol w:w="146"/>
        <w:gridCol w:w="303"/>
        <w:gridCol w:w="822"/>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forfeited/canceled/expired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granted approximately 399,000 options to certain employees which had a grant date fair value of $7.26. For the three months ended March 31, 2026 and 2025, the amount of stock-based compensation expense related to stock options was $0.6 million and $0.4 million, respectively. As of March 31, 2026, the Company had $7.3 million of unrecognized compensation costs related to non-vested stock option awards that are expected to be recognized over a weighted average period of 3.2 years.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Restricted Stock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Compensation expense for nonvested stock awards is recorded over the vesting period based on the fair value at the date of grant. Generally, the restricted stock awards vest in equal increments generally over either a three- or four-year period. The fair value of restricted stock awards, which do not contain a market-based vesting condition, is determined using the closing price of the Company's common stock on the date of grant. The Company has historically issued share-based awards with service-based, performance-based and market-based vesting criteria.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the activity of restricted stock outstanding is as follows for the three months ended March 31, 2026:</w:t>
      </w:r>
    </w:p>
    <w:p>
      <w:pPr>
        <w:pStyle w:val="TextBody"/>
        <w:bidi w:val="0"/>
        <w:jc w:val="left"/>
        <w:rPr/>
      </w:pPr>
      <w:r>
        <w:rPr/>
        <w:t> </w:t>
      </w:r>
    </w:p>
    <w:tbl>
      <w:tblPr>
        <w:tblW w:w="6695" w:type="dxa"/>
        <w:jc w:val="left"/>
        <w:tblInd w:w="0" w:type="dxa"/>
        <w:tblLayout w:type="fixed"/>
        <w:tblCellMar>
          <w:top w:w="28" w:type="dxa"/>
          <w:left w:w="28" w:type="dxa"/>
          <w:bottom w:w="28" w:type="dxa"/>
          <w:right w:w="28" w:type="dxa"/>
        </w:tblCellMar>
      </w:tblPr>
      <w:tblGrid>
        <w:gridCol w:w="3976"/>
        <w:gridCol w:w="146"/>
        <w:gridCol w:w="211"/>
        <w:gridCol w:w="914"/>
        <w:gridCol w:w="166"/>
        <w:gridCol w:w="146"/>
        <w:gridCol w:w="255"/>
        <w:gridCol w:w="690"/>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the Company granted approximately 1,514,000 shares of restricted stock to certain employees and executive officers. Of these awards, 115,500 are market and performance-based awards which will be forfeited if the Company does not achieve certain annual metrics during 2026, 2027 and 2028.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vesting of these performance-based restricted stock grants are subject to the achievement by GEO of two annual performance metrics as follows: (i) up to 50% of the shares of restricted stock ("TSR Target Award") that will have one-third vest each year of the performance period if GEO meets certain total shareholder return ("TSR") performance targets, as compared to the total shareholder return of a peer group of companies, over a three year period from January 1, 2026 to December 31, 2028 and (ii) up to 50% of the shares of restricted stock ("ROCE Target Award") that will have one-third vest each year of the performance period if GEO meets certain return on capital employed ("ROCE") performance targets over a three year period from January 1, 2026 to December 31, 2028. These market and performance awards can vest at between 0% and 200% of the target awards for both metrics. The number of shares shown for the performance-based awards is based on the target awards for both metrics.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The fair value of these awards was determined based on the closing price of the Company's common stock on the date of grant.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metric related to TSR is considered to be a market condition. For share-based awards that contain a market condition, the probability of satisfying the market condition must be considered in the estimate of grant-date fair value and previously recorded compensation expense is not reversed if the market condition is never met. The fair value of these awards was determined based on a Monte Carlo simulation, which calculates a range of possible outcomes and the probabilities that they will occur, using the following weighted average key assumptions: (i) volatility of 50.3%; (ii) beta of 1.22; and (iii) risk free rate of 3.43%.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March 31, 2026 and 2025, the Company recognized $7.2 million and $6.1 million, respectively, of compensation expense related to its restricted stock awards. As of March 31, 2026, the Company had $33.2 million of unrecognized compensation costs related to non-vested restricted stock awards, including non-vested restricted stock awards with performance-based and market-based vesting, that are expected to be recognized over a weighted average period of 2.6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Amended ESPP is considered to be non-compensatory. As such, there is no compensation expense required to be recognized. Share purchases under the Amended ESPP are made on the last day of each month. During the three months ended March 31, 2026 and 2025, 2,529 and 1,396 shares, respectively, of the Company's common stock were issued in connection with the Amended ESPP.</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8. EARNINGS PER SHARE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by the weighted-average number of common shares outstanding for the period. The calculation of diluted earnings per share is similar to that of basic earnings per share except that the denominator includes dilutive common stock equivalents such as stock options and shares of restricted stock. Basic and diluted earnings per share were calculated for the three months ended March 31, 2026 and 2025 as follows (in thousands, except per share data):</w:t>
      </w:r>
    </w:p>
    <w:p>
      <w:pPr>
        <w:pStyle w:val="TextBody"/>
        <w:bidi w:val="0"/>
        <w:jc w:val="left"/>
        <w:rPr/>
      </w:pPr>
      <w:r>
        <w:rPr/>
        <w:t> </w:t>
      </w:r>
    </w:p>
    <w:p>
      <w:pPr>
        <w:pStyle w:val="TextBody"/>
        <w:bidi w:val="0"/>
        <w:jc w:val="both"/>
        <w:rPr/>
      </w:pPr>
      <w:r>
        <w:rPr/>
        <w:t> </w:t>
      </w:r>
    </w:p>
    <w:tbl>
      <w:tblPr>
        <w:tblW w:w="8525" w:type="dxa"/>
        <w:jc w:val="left"/>
        <w:tblInd w:w="0" w:type="dxa"/>
        <w:tblLayout w:type="fixed"/>
        <w:tblCellMar>
          <w:top w:w="28" w:type="dxa"/>
          <w:left w:w="28" w:type="dxa"/>
          <w:bottom w:w="28" w:type="dxa"/>
          <w:right w:w="28" w:type="dxa"/>
        </w:tblCellMar>
      </w:tblPr>
      <w:tblGrid>
        <w:gridCol w:w="5176"/>
        <w:gridCol w:w="146"/>
        <w:gridCol w:w="268"/>
        <w:gridCol w:w="992"/>
        <w:gridCol w:w="146"/>
        <w:gridCol w:w="146"/>
        <w:gridCol w:w="268"/>
        <w:gridCol w:w="992"/>
        <w:gridCol w:w="3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19,558</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 share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assuming dilution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134,055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140,915</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 share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1,066,552 weighted average shares of common stock underlying options were excluded from the computation of diluted earnings per share ("EPS") because the effect would be anti-dilutive. There were 448,670 common stock equivalents from restricted shares that were anti-dilutive for the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March 31, 2025, 320,935 weighted average shares of common stock underlying options were excluded from the computation of diluted EPS because the effect would be anti-dilutive. There were 22,153 common stock equivalents from restricted shares that were anti-dilutive for the period.</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9. DERIVATIVE FINANCIAL INSTRUMENTS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August of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 loss recorded in other comprehensive income (loss), net of tax, related to these cash flow hedges was ($0.1) million and $0.7 million during the three months ended March 31, 2026 and 2025, respectively. The total fair value of the swap assets as of March 31, 2026 and December 31, 2025 was $3.5 million and is recorded as a component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Non-Current Assets within the accompanying consolidated balance sheets.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10 - Debt for additional information.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10. DEBT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Debt outstanding as of March 31, 2026 and December 31, 2025 consisted of the following (in thousands):</w:t>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5101"/>
        <w:gridCol w:w="146"/>
        <w:gridCol w:w="211"/>
        <w:gridCol w:w="931"/>
        <w:gridCol w:w="166"/>
        <w:gridCol w:w="146"/>
        <w:gridCol w:w="211"/>
        <w:gridCol w:w="931"/>
        <w:gridCol w:w="3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8.625%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8.625% Secured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10.250%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10.25% Unsecured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6.50% Exchangeable Senior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net of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liabilities and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14, 2025, the Company entered into a First Amendment to Credit Agreement (the “First Amendment”) which amended its Credit Agreement dated as of April 18, 2024. The First Amendment increases the Company's Revolving Credit Facility (the “Revolver”) commitments from $310 million to $450 million and extends the Revolver’s maturity from April 15, 2029 to July 14, 2030. The First Amendment also lowered the applicable interest rates based on the total leverage ratio for loans using the Alternate Base Rate and loans using the Secured Overnight Financing Rate (“SOFR”) by 0.50%. Currently, revolving credit loans accruing interest at a SOFR based rate would accrue interest at the term SOFR reference rate for the applicable interest period plus 2.75% per annum, which is lower by 0.50% from the applicable rate prior to the First Amendment. The First Amendment also increases the Company's capacity to make restricted payments over the next five years and makes certain additional modifications to the Credit Agreement. Prior to the closing of the First Amendment, GEO repaid $132 million of the Term Loan B outstanding under the Credit Agreement. Subsequently, as a result of an asset sale of one of the Company's owned facilities, the Company repaid the remaining balance of the Term Loans under the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13, 2025, the Company entered into a Second Amendment to Credit Agreement (the “Second Amendment”), by and among each of GEO and GEO Corrections Holdings, Inc., as the Borrowers, the guarantors named therein, Citizens Bank, N.A., as administrative agent, and the lenders party thereto. The Second Amendment effectively removes the 3.00 to 1.00 total leverage ratio hurdle from one-half of the $150.0 million general carve-out to the Credit Agreement’s restricted payments negative covenant.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20, 2026, the Company entered into a Third Amendment to Credit Agreement (the “Third Amendment”), by and among each of GEO and GEO Corrections Holdings, Inc., as the Borrowers, the other loan parties named therein, Citizens Bank, N.A., as administrative agent, and the lenders party thereto. The Third Amendment increased the revolving credit facility commitments from $450 million to $550 million. The Third Amendment decreased the Incremental Amount (as defined in the Third Amendment) from $250 million to $150 million that the Company may request in the future in additional term loans, incremental equivalent debt or an increase to the revolving credit facility commitments, subject to the satisfaction of the applicable conditions in the Third Amendment and the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certain customary representations and warranties, affirmative covenants and negative covenants, including restrictions on the ability of GEO and its restricted subsidiaries to, among other things, (i) create, incur or assume any indebtedness, (ii) create, incur, assume or permit liens, (iii) make loans and investments, (iv) engage in mergers, acquisitions and asset sales, (v) make certain restricted payments, (vi) engage in transactions with affiliates, (vii) cancel, forgive, make any voluntary or optional payment or prepayment on, or redeem or acquire for value any subordinated indebtedness, except as permitted under applicable subordination terms, (viii) engage in other businesses, except as permitted, and (ix) materially impair the security interests securing the obligations under the Credit Agreement. The Credit Agreement also contains certain financial covenants, including a maximum total leverage ratio covenant, a maximum first lien leverage ratio covenant and a minimum interest coverage ratio covenant. In addition, the Credit Agreement restricts GEO from electing to be taxed as a real estate investment trust under the Internal Revenue Code. The Credit Agreement also contains certain customary events of default.</w:t>
      </w:r>
    </w:p>
    <w:p>
      <w:pPr>
        <w:pStyle w:val="TextBody"/>
        <w:bidi w:val="0"/>
        <w:jc w:val="left"/>
        <w:rPr>
          <w:rFonts w:ascii="Times New Roman" w:hAnsi="Times New Roman"/>
          <w:color w:val="000000"/>
          <w:sz w:val="20"/>
        </w:rPr>
      </w:pPr>
      <w:r>
        <w:rPr>
          <w:rFonts w:ascii="Times New Roman" w:hAnsi="Times New Roman"/>
          <w:color w:val="000000"/>
          <w:sz w:val="20"/>
        </w:rPr>
        <w:t>The Credit Facility guarantors will guarantee the obligations in respect of the commitments and loans under the Credit Agreement. The obligations of the Credit Facility Borrowers and the Credit Facility guarantors in respect of the Credit Agreement will be secured by first-priority liens on substantially all of their assets, including real property interests with respect to which the Credit Agreement requires the execution and delivery of a mortgage. The rights of the holders of the Secured Notes in the Collateral (including the right to exercise remedies) are subject to the First Lien Intercreditor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March 31, 2026, the Company had $297.6 million in borrowings under its revolver, and approximately $56.9 million in letters of credit which left approximately $195.5 million in additional borrowing capacity under the revolver. The weighted average interest rate on outstanding borrowings under the Credit Agreement as of March 31, 2026 was 8.70%.</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terms and conditions of the 2029 Indenture and the Secured Notes are as follows: </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Secured Notes mature on April 15, 2029.</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Secured Notes accrue interest at a rate of 8.625% per year. Interest on the Secured Notes is payable semi-annually on each April 15 and October 15, which commenced on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The Secured Notes are fully and unconditionally guaranteed by each of the Initial Guarantors (as defined in the 2029 Indenture) and may be guaranteed by additional </w:t>
      </w:r>
      <w:r>
        <w:rPr>
          <w:rFonts w:ascii="Times New Roman" w:hAnsi="Times New Roman"/>
          <w:b/>
          <w:i/>
          <w:color w:val="000000"/>
          <w:sz w:val="20"/>
        </w:rPr>
        <w:t>s</w:t>
      </w:r>
      <w:r>
        <w:rPr>
          <w:rFonts w:ascii="Times New Roman" w:hAnsi="Times New Roman"/>
          <w:color w:val="000000"/>
          <w:sz w:val="20"/>
        </w:rPr>
        <w:t>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Ranking</w:t>
      </w:r>
      <w:r>
        <w:rPr>
          <w:rFonts w:ascii="Times New Roman" w:hAnsi="Times New Roman"/>
          <w:color w:val="000000"/>
          <w:sz w:val="20"/>
        </w:rPr>
        <w:t>. The Secured Notes and the Secured Note Guarantees are GEO and the Guarantors’ respective senior, secured obligations, and the indebtedness evidenced by the Secured Notes and the Secured Note Guarantees will rank equal in right of payment to all of GEO’s and the Guarantors’ other existing and future senior obligations, including the indebtedness under the Credit Agreement and the guarantees thereof; effectively senior in right of payment to all of GEO’s and the Guarantors’ existing and future unsecured indebtedness, including the Unsecured Notes, and the guarantees thereof, to the extent of the value of the Collateral (as defined below); senior in right of payment to any of GEO’s and the Guarantors’ future subordinated indebtedness; effectively junior in right of payment to any of GEO’s and the Guarantors’ future secured indebtedness that is secured by a lien on any assets not constituting Collateral, to the extent of the value of such assets; and structurally subordinated to all existing and future indebtedness and other liabilities of Subsidiaries that do not guarantee the Secured Notes and joint ventures, including trade payables.</w:t>
      </w:r>
    </w:p>
    <w:p>
      <w:pPr>
        <w:pStyle w:val="TextBody"/>
        <w:bidi w:val="0"/>
        <w:jc w:val="left"/>
        <w:rPr>
          <w:rFonts w:ascii="Times New Roman" w:hAnsi="Times New Roman"/>
          <w:sz w:val="20"/>
        </w:rPr>
      </w:pPr>
      <w:r>
        <w:rPr>
          <w:rFonts w:ascii="Times New Roman" w:hAnsi="Times New Roman"/>
          <w:b/>
          <w:i/>
          <w:color w:val="000000"/>
          <w:sz w:val="20"/>
        </w:rPr>
        <w:t xml:space="preserve">Security. </w:t>
      </w:r>
      <w:r>
        <w:rPr>
          <w:rFonts w:ascii="Times New Roman" w:hAnsi="Times New Roman"/>
          <w:color w:val="000000"/>
          <w:sz w:val="20"/>
        </w:rPr>
        <w:t>The Secured Notes and the Secured Note Guarantees are secured on a first-priority basis by the same collateral (the “Collateral”) that secures the obligations under the Credit Agreement in accordance with the terms of the 2029 Indenture and security agreements relating to the Collateral and instruments filed and recorded in appropriate jurisdictions to preserve and protect the liens on the Collateral (including, without limitation, mortgages, deeds of trust or deed to secure debt and financing statements under the Uniform Commercial Code of the relevant states applicable to the Collateral), each for the benefit of the Trustee, Collateral Agent and the holders of the Secured Notes.</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Secured Notes.</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xml:space="preserve">. On or after April 15, 2026, the Company may redeem all or a part of the Secured Notes (which includes Additional Notes (as defined in the 2029 Indenture), if any), upon not less than 10 nor more than 60 days’ notice, at the fixed redemption prices expressed as percentages of the principal amount set forth in the 2029 Indenture, plus accrued and unpaid interest, if any, on the Secured Notes redeemed, to, but excluding, the applicable redemption date, subject to the rights of holders of Secured Notes on the relevant record date to receive interest due on the relevant interest payment date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Secured Notes have not been redeemed prior to such date. In addition, the Company was able to redeem up to 35% of the aggregate principal amount of the Secured Notes at any time and from time to time before April 15, 2026, with an amount up to the net proceeds of certain equity offerings at a redemption price of 108.625% of the principal amount plus accrued and unpaid interest, if any, to, but excluding, the redemption date provided, that (1) at least 65% of the aggregate principal amount of Secured Notes remains outstanding immediately after the occurrence of that redemption and (2) the redemption occurs within 90 days of the date of the closing of the equity offering. The Company was able to redeem the Secured Notes, in whole or in part, at any time and from time to time before April 15, 2026, at a redemption price equal to 100% of the principal amount of the Secured Notes (which includes Additional Notes, if any), plus the Applicable Premium (as defined in the 2029 Indenture) as of the applicable redemption date, plus accrued and unpaid interest, if any, to, but excluding, the redemption date, subject to the rights of holders of Secured Notes on the relevant record date to receive interest due on the relevant interest payment date if the Secured Notes have not been redeemed prior to such date. Additionally, during any twelve-month period prior to April 15, 2026, the Company was entitled at its option on one or more occasions to redeem the Secured Notes (which includes Additional Notes, if any) in an aggregate principal amount not to exceed 10% of the aggregate principal amount of the outstanding Secured Notes (which includes Additional Notes, if any) at a redemption price (calculated by the Company and expressed as a percentage of principal amount) of 103.000%, plus accrued and unpaid interest, if any, to, but excluding, the redemption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2029 Indenture) occurs, the Company will offer a payment in cash equal to 101% of the aggregate principal amount of Secured Notes repurchased, plus accrued and unpaid interest, if any, on the Secured Notes repurchased, to (but not including) the date of purchase, subject to the right of holders on the relevant record date to receive interest due on the relevant interest payment date if the Secured Notes have not been redeemed or repurchased prior to such date.</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2029 Indenture contains certain covenants that will limit, among other things, the Company’s and its Restricted Subsidiaries’ (as defined in the 2029 Indenture) ability to: incur additional indebtedness (including guarantees thereof); incur or create liens, other than Permitted Liens (as defined in the 2029 Indenture); make certain Restricted Payments (as defined in the 2029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2029 Indenture); engage in certain transactions with affiliates; and engage in any business other than Permitted Businesses (as defined in the 2029 Indenture). These covenants are subject to a number of important limitations and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2029 Indenture contains customary events of default which could, subject to certain conditions, cause the Secured Notes to become immediately due and payable.</w:t>
      </w:r>
    </w:p>
    <w:p>
      <w:pPr>
        <w:pStyle w:val="TextBody"/>
        <w:bidi w:val="0"/>
        <w:jc w:val="left"/>
        <w:rPr>
          <w:rFonts w:ascii="Times New Roman" w:hAnsi="Times New Roman"/>
          <w:color w:val="000000"/>
          <w:sz w:val="20"/>
        </w:rPr>
      </w:pPr>
      <w:r>
        <w:rPr>
          <w:rFonts w:ascii="Times New Roman" w:hAnsi="Times New Roman"/>
          <w:color w:val="000000"/>
          <w:sz w:val="20"/>
        </w:rPr>
        <w:t>The Secured Notes are also subject to the terms of the First Lien Intercreditor Agreement (the “First Lien Intercreditor Agreement”), dated April 18, 2024, among GEO, GEOCH, the other grantors from time to time party thereto, Citizens Bank, N.A., as Credit Agreement Collateral Agent and Authorized Representative for the Credit Agreement Secured Parties, and Ankura Trust Company, LLC as Initial Additional Collateral Agent and Initial Additional Authorized Representative. The First Lien Intercreditor Agreement sets forth the relative rights and obligations of the holders of First Lien Secured Obligations (which means (i) all obligations as defined in the Credit Agreement, (ii) all obligations under the Secured Notes, the 2029 Indenture, the Secured Note Guarantees and the Security Documents (as defined in the 2029 Indenture), and (iii) any other indebtedness secured on a first lien pari passu basis with such obligations), in each case, with respect to shared Collateral.</w:t>
      </w:r>
    </w:p>
    <w:p>
      <w:pPr>
        <w:pStyle w:val="TextBody"/>
        <w:bidi w:val="0"/>
        <w:jc w:val="left"/>
        <w:rPr>
          <w:rFonts w:ascii="Times New Roman" w:hAnsi="Times New Roman"/>
          <w:b/>
          <w:i/>
          <w:color w:val="000000"/>
          <w:sz w:val="20"/>
        </w:rPr>
      </w:pPr>
      <w:r>
        <w:rPr>
          <w:rFonts w:ascii="Times New Roman" w:hAnsi="Times New Roman"/>
          <w:b/>
          <w:i/>
          <w:color w:val="000000"/>
          <w:sz w:val="20"/>
        </w:rPr>
        <w:t>Unsecured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terms and conditions of the 2031 Indenture and the Unsecured Notes are as follows: </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Unsecured Notes mature on April 15, 2031.</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Unsecured Notes accrue interest at a rate of 10.250% per year. Interest on the Unsecured Notes is payable semi-annually on each April 15 and October 15, which commenced on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Unsecured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The Unsecured Notes are fully and unconditionally guaranteed by each of the Initial Guarantors (as defined in the 2031 Indenture) and may be guaranteed by additional </w:t>
      </w:r>
      <w:r>
        <w:rPr>
          <w:rFonts w:ascii="Times New Roman" w:hAnsi="Times New Roman"/>
          <w:b/>
          <w:i/>
          <w:color w:val="000000"/>
          <w:sz w:val="20"/>
        </w:rPr>
        <w:t>s</w:t>
      </w:r>
      <w:r>
        <w:rPr>
          <w:rFonts w:ascii="Times New Roman" w:hAnsi="Times New Roman"/>
          <w:color w:val="000000"/>
          <w:sz w:val="20"/>
        </w:rPr>
        <w:t>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Unsecured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On or after April 15, 2027, the Company may redeem all or a part of the Unsecured Notes (which includes Additional Notes (as defined in the 2031 Indenture), if any), upon not less than 10 nor more than 60 days’ notice, at the fixed redemption prices expressed as percentages of the principal amount set forth in the 2031 Indenture, plus accrued and unpaid interest, if any, on the Unsecured Notes redeemed, to, but excluding, the applicable redemption date, subject to the rights of holders of Unsecured Notes on the relevant record date to receive interest due on the relevant interest payment date if the Unsecured Notes have not been redeemed prior to such date. In addition, the Company may redeem up to 35% of the aggregate principal amount of the Unsecured Notes at any time and from time to time before April 15, 2027, with an amount up to the net proceeds of certain equity offerings at a redemption price of 110.250% of the principal amount plus accrued and unpaid interest, if any, to, but excluding, the redemption date provided, that (1) at least 65% of the aggregate principal amount of Unsecured Notes remains outstanding immediately after the occurrence of that redemption and (2) the redemption occurs within 90 days of the date of the closing of the equity offering. The Company may also redeem the Unsecured Notes, in whole or in part, at any time and from time to time before April 15, 2027, at a redemption price equal to 100% of the principal amount of the Unsecured Notes (which includes Additional Notes, if any), plus the Applicable Premium (as defined in the 2031 Indenture) as of the applicable redemption date, plus accrued and unpaid interest, if any, to, but excluding, the redemption date, subject to the rights of holders of Unsecured Notes on the relevant record date to receive interest due on the relevant interest payment date if the Unsecured Notes have not been redeemed prior to such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2031 Indenture) occurs, the Company will offer a payment in cash equal to 101% of the aggregate principal amount of Unsecured Notes repurchased, plus accrued and unpaid interest, if any, on the Unsecured Notes repurchased, to (but not including) the date of purchase, subject to the right of holders on the relevant record date to receive interest due on the relevant interest payment date if the Unsecured Notes have not been redeemed or repurchased prior to such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2031 Indenture contains certain covenants that will limit, among other things, the Company’s and its Restricted Subsidiaries’ (as defined in the 2031 Indenture) ability to: incur additional indebtedness (including guarantees thereof); incur or create liens, other than Permitted Liens (as defined in the 2031 Indenture); make certain Restricted Payments (as defined in the 2031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2031 Indenture); engage in certain transactions with affiliates; and engage in any business other than Permitted Businesses (as defined in the 2031 Indenture). These covenants are subject to a number of important limitations and exceptions.</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2031 Indenture contains customary events of default which could, subject to certain conditions, cause the Unsecured Notes to become immediately due and payable.</w:t>
      </w:r>
    </w:p>
    <w:p>
      <w:pPr>
        <w:pStyle w:val="TextBody"/>
        <w:bidi w:val="0"/>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The Company has entered into interest rate swap agreements to fix the interest rate to 4.22%. Included in the balance at March 31, 2026 is $0.4 million of deferred loan costs incurred in the transaction. Refer to Note 9 - Derivative Financial Instruments for further information.</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was in compliance with its debt covenants at March 31, 2026.</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Australia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has entered into a guarantee in the form of a letter of credit in connection with the operating performance of a facility in Australia. The obligation amounted to approximately AUD53.1 million, or $36.5 million, based on exchange rates as of March 31,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March 31, 2026, the Company also had seven other letters of credit outstanding under separate international facilities relating to performance guarantees of its Australian subsidiary totaling AUD11.4 million, or $7.8 million, based on exchange rates as of March 31, 2026.</w:t>
      </w:r>
    </w:p>
    <w:p>
      <w:pPr>
        <w:pStyle w:val="TextBody"/>
        <w:bidi w:val="0"/>
        <w:jc w:val="left"/>
        <w:rPr>
          <w:rFonts w:ascii="Times New Roman" w:hAnsi="Times New Roman"/>
          <w:color w:val="000000"/>
          <w:sz w:val="20"/>
        </w:rPr>
      </w:pPr>
      <w:r>
        <w:rPr>
          <w:rFonts w:ascii="Times New Roman" w:hAnsi="Times New Roman"/>
          <w:color w:val="000000"/>
          <w:sz w:val="20"/>
        </w:rPr>
        <w:t>Except as discussed above, the Company does not have any 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11. COMMITMENTS, CONTINGENCIES AND OTHER MATTERS</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 On April 6, 2026, GEO filed a motion seeking certification of the appeal of its Yearsley defense, a motion to stay any further proceedings pending resolution of GEO’s Petition for Writ of Certiorari to the Supreme Court in Nwauzor v. GEO (discussed below), and a separate motion for summary judgment under qualified immunity. Briefing on those motions is scheduled to be completed on May 25,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Briefing on GEO’s Petition was completed on April 24, 2026.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Ninth Circuit joining a harshly worded dissent from that decision. On February 16, 2026, GEO filed a Rule 41 motion with the Ninth Circuit seeking a stay of the mandate pending GEO’s Petition for Writ of Certiorari to the Supreme Court of the United States. On May 4, 2026, the District Court denied GEO’s request to stay the proceedings pending the Supreme Court petition, and the parties are briefing new motions for preliminary injunction.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currently has contractual commitments for a number of projects using Company financing. The Company’s management estimates that the cost of these existing active capital projects will be approximately $45.0 million of which $27.8 million was spent through the first three months of 2026. The Company estimates the remaining capital requirements related to these capital projects will be $17.2 million which will be spent through the remainder of 2026.</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As of March 31, 2026, the Company was marketing (or awaiting activation of) eight idle facilities to potential customers. One of the facilities, Cheyenne Mountain Recovery Center, is under a contract which has yet to be activated. The carrying values of these idle facilities are included in Property and Equipment in the accompanying consolidated balance sheets. The following table summarizes each of the idled facilities and their respective carrying values, excluding equipment and other assets that can be easily transferred for use at other facilities. There was no indication of impairment related to the Company's idle facilities as of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5"/>
        <w:gridCol w:w="146"/>
        <w:gridCol w:w="725"/>
        <w:gridCol w:w="146"/>
        <w:gridCol w:w="211"/>
        <w:gridCol w:w="832"/>
        <w:gridCol w:w="146"/>
        <w:gridCol w:w="146"/>
        <w:gridCol w:w="266"/>
        <w:gridCol w:w="776"/>
        <w:gridCol w:w="146"/>
        <w:gridCol w:w="146"/>
        <w:gridCol w:w="243"/>
        <w:gridCol w:w="903"/>
        <w:gridCol w:w="146"/>
        <w:gridCol w:w="146"/>
        <w:gridCol w:w="262"/>
        <w:gridCol w:w="840"/>
        <w:gridCol w:w="146"/>
        <w:gridCol w:w="146"/>
        <w:gridCol w:w="243"/>
        <w:gridCol w:w="903"/>
        <w:gridCol w:w="196"/>
      </w:tblGrid>
      <w:tr>
        <w:trPr/>
        <w:tc>
          <w:tcPr>
            <w:tcW w:w="2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Female Community</w:t>
              <w:br/>
              <w:t>   Reentry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 County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 Revenue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leases nine of its owned facilities to unrelated parties, six of which have a five year term through June 2027. The carrying value of these leased facilities as of March 31, 2026 is $43.4 million, net of accumulated depreciation of $28.1 million. For the additional three leased facilities, one facility has a term that expired on February 28, 2026. The carrying value of this leased facility as of March 31, 2026 was $2.0 million, net of accumulated depreciation of $1.1 million. One facility has a term of sixty-nine months with one-year renewal options whose base term expires in October 2028. The carrying value of this leased facility as of March 31, 2026 was $70.1 million, net of accumulated depreciation of $41.8 million. The remaining facility has a term of twenty years with renewals and expires in October 2041. The carrying value of this leased facility as of March 31, 2026 was $19.3 million, net of accumulated depreciation of $19.8 million. Rental income, included in Revenues, for leased facilities for each of the three months ended March 31, 2026 and 2025, was approximately $3.8 million. As of March 31, 2026, future minimum rentals to be received on these leases are as follows: </w:t>
      </w:r>
    </w:p>
    <w:p>
      <w:pPr>
        <w:pStyle w:val="TextBody"/>
        <w:bidi w:val="0"/>
        <w:spacing w:before="9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173" w:type="dxa"/>
        <w:jc w:val="left"/>
        <w:tblInd w:w="0" w:type="dxa"/>
        <w:tblLayout w:type="fixed"/>
        <w:tblCellMar>
          <w:top w:w="28" w:type="dxa"/>
          <w:left w:w="28" w:type="dxa"/>
          <w:bottom w:w="28" w:type="dxa"/>
          <w:right w:w="28" w:type="dxa"/>
        </w:tblCellMar>
      </w:tblPr>
      <w:tblGrid>
        <w:gridCol w:w="1681"/>
        <w:gridCol w:w="146"/>
        <w:gridCol w:w="245"/>
        <w:gridCol w:w="910"/>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Rental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12. BUSINESS SEGMENTS AND GEOGRAPHIC INFORMATION</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Operating and Reporting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segments are determined as those operations whose results are reviewed regularly by the chief operating decision maker ("CODM"), who is the Company's Chairman and Chief Executive Officer, in deciding how to allocate resources and assess performance. 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 The accounting policies of the segments are the same as those described in the summary of 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and operating income for each segment are used by the CODM to assess the performance of each segment in a financial period. The performance of the operating segments is evaluated based on segment operating income, which is defined as income before income taxes before the following: unallocated corporate general and administrative expenses, interest expense, net, and loss on extinguishment of debt not allocated to the operating segments. The CODM uses segment operating income as the measure to make resource (including financial or capital resources) allocation decisions for each segment, predominantly in the annual budget and forecasting process. The CODM considers budget-to-actual variances on a monthly and quarterly basis when evaluating performance for each segment and making decisions about capital allocation.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Summarized financial information for the Company's segments is shown in the following tables including a reconciliation of the Company’s total operating income from its reportable segments to the Company’s income before income taxes and equity in earnings of affiliates, in each case, during the three months ended March 31,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9"/>
        <w:gridCol w:w="146"/>
        <w:gridCol w:w="245"/>
        <w:gridCol w:w="908"/>
        <w:gridCol w:w="146"/>
        <w:gridCol w:w="146"/>
        <w:gridCol w:w="401"/>
        <w:gridCol w:w="1285"/>
        <w:gridCol w:w="146"/>
        <w:gridCol w:w="146"/>
        <w:gridCol w:w="240"/>
        <w:gridCol w:w="770"/>
        <w:gridCol w:w="146"/>
        <w:gridCol w:w="146"/>
        <w:gridCol w:w="295"/>
        <w:gridCol w:w="950"/>
        <w:gridCol w:w="146"/>
        <w:gridCol w:w="146"/>
        <w:gridCol w:w="211"/>
        <w:gridCol w:w="781"/>
        <w:gridCol w:w="396"/>
      </w:tblGrid>
      <w:tr>
        <w:trPr/>
        <w:tc>
          <w:tcPr>
            <w:tcW w:w="2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366,405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5"/>
        <w:gridCol w:w="146"/>
        <w:gridCol w:w="246"/>
        <w:gridCol w:w="912"/>
        <w:gridCol w:w="146"/>
        <w:gridCol w:w="146"/>
        <w:gridCol w:w="406"/>
        <w:gridCol w:w="1302"/>
        <w:gridCol w:w="146"/>
        <w:gridCol w:w="146"/>
        <w:gridCol w:w="241"/>
        <w:gridCol w:w="772"/>
        <w:gridCol w:w="146"/>
        <w:gridCol w:w="146"/>
        <w:gridCol w:w="296"/>
        <w:gridCol w:w="954"/>
        <w:gridCol w:w="146"/>
        <w:gridCol w:w="146"/>
        <w:gridCol w:w="211"/>
        <w:gridCol w:w="781"/>
        <w:gridCol w:w="395"/>
      </w:tblGrid>
      <w:tr>
        <w:trPr/>
        <w:tc>
          <w:tcPr>
            <w:tcW w:w="2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604,647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314,228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118,733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pPr>
      <w:r>
        <w:rPr/>
        <w:t> </w:t>
      </w:r>
    </w:p>
    <w:p>
      <w:pPr>
        <w:pStyle w:val="TextBody"/>
        <w:bidi w:val="0"/>
        <w:spacing w:before="270" w:after="283"/>
        <w:jc w:val="left"/>
        <w:rPr/>
      </w:pPr>
      <w:r>
        <w:rPr/>
        <w:t>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[1] The significant expense categories and amounts align with the segment-level information that is regularly provided to the CODM. Intersegment expenses are included in the amounts shown.</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[2] Other segment items include:</w:t>
      </w:r>
    </w:p>
    <w:p>
      <w:pPr>
        <w:pStyle w:val="TextBody"/>
        <w:bidi w:val="0"/>
        <w:spacing w:before="270" w:after="283"/>
        <w:jc w:val="left"/>
        <w:rPr>
          <w:rFonts w:ascii="Times New Roman" w:hAnsi="Times New Roman"/>
          <w:sz w:val="20"/>
        </w:rPr>
      </w:pPr>
      <w:r>
        <w:rPr>
          <w:rFonts w:ascii="Times New Roman" w:hAnsi="Times New Roman"/>
          <w:b/>
          <w:color w:val="000000"/>
          <w:sz w:val="20"/>
        </w:rPr>
        <w:t>U.S. Secure Services</w:t>
      </w:r>
      <w:r>
        <w:rPr>
          <w:rFonts w:ascii="Times New Roman" w:hAnsi="Times New Roman"/>
          <w:color w:val="000000"/>
          <w:sz w:val="20"/>
        </w:rPr>
        <w:t xml:space="preserve"> - depreciation and amortization, food services and supplies, utilities, repairs and maintenance,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Electronic Monitoring and Supervision Services</w:t>
      </w:r>
      <w:r>
        <w:rPr>
          <w:rFonts w:ascii="Times New Roman" w:hAnsi="Times New Roman"/>
          <w:color w:val="000000"/>
          <w:sz w:val="20"/>
        </w:rPr>
        <w:t xml:space="preserve"> - depreciation and amortization, cost of goods sold,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Reentry Services</w:t>
      </w:r>
      <w:r>
        <w:rPr>
          <w:rFonts w:ascii="Times New Roman" w:hAnsi="Times New Roman"/>
          <w:color w:val="000000"/>
          <w:sz w:val="20"/>
        </w:rPr>
        <w:t xml:space="preserve"> - depreciation and amortization, medical services and supplies, food services and supplies, rent and lease expense, utilities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 xml:space="preserve">International Services </w:t>
      </w:r>
      <w:r>
        <w:rPr>
          <w:rFonts w:ascii="Times New Roman" w:hAnsi="Times New Roman"/>
          <w:color w:val="000000"/>
          <w:sz w:val="20"/>
        </w:rPr>
        <w:t>- medical services and supplies, food services and supplies, utilities, repairs and maintenance and certain other overhead expenses.</w:t>
      </w:r>
    </w:p>
    <w:p>
      <w:pPr>
        <w:pStyle w:val="TextBody"/>
        <w:bidi w:val="0"/>
        <w:spacing w:before="30" w:after="283"/>
        <w:jc w:val="left"/>
        <w:rPr/>
      </w:pPr>
      <w:r>
        <w:rPr/>
        <w:t> </w:t>
      </w:r>
    </w:p>
    <w:p>
      <w:pPr>
        <w:pStyle w:val="TextBody"/>
        <w:bidi w:val="0"/>
        <w:spacing w:before="30" w:after="283"/>
        <w:jc w:val="left"/>
        <w:rPr>
          <w:rFonts w:ascii="Times New Roman" w:hAnsi="Times New Roman"/>
          <w:sz w:val="20"/>
        </w:rPr>
      </w:pPr>
      <w:r>
        <w:rPr>
          <w:rFonts w:ascii="Times New Roman" w:hAnsi="Times New Roman"/>
          <w:b/>
          <w:i/>
          <w:color w:val="000000"/>
          <w:sz w:val="20"/>
        </w:rPr>
        <w:t>Segment Assets</w:t>
      </w:r>
      <w:r>
        <w:rPr>
          <w:rFonts w:ascii="Times New Roman" w:hAnsi="Times New Roman"/>
          <w:color w:val="000000"/>
          <w:sz w:val="20"/>
        </w:rPr>
        <w:t xml:space="preserve"> </w:t>
      </w:r>
    </w:p>
    <w:tbl>
      <w:tblPr>
        <w:tblW w:w="7971" w:type="dxa"/>
        <w:jc w:val="left"/>
        <w:tblInd w:w="0" w:type="dxa"/>
        <w:tblLayout w:type="fixed"/>
        <w:tblCellMar>
          <w:top w:w="28" w:type="dxa"/>
          <w:left w:w="28" w:type="dxa"/>
          <w:bottom w:w="28" w:type="dxa"/>
          <w:right w:w="28" w:type="dxa"/>
        </w:tblCellMar>
      </w:tblPr>
      <w:tblGrid>
        <w:gridCol w:w="4236"/>
        <w:gridCol w:w="146"/>
        <w:gridCol w:w="232"/>
        <w:gridCol w:w="1028"/>
        <w:gridCol w:w="146"/>
        <w:gridCol w:w="146"/>
        <w:gridCol w:w="277"/>
        <w:gridCol w:w="1223"/>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Asset Reconciliation</w:t>
      </w:r>
    </w:p>
    <w:p>
      <w:pPr>
        <w:pStyle w:val="TextBody"/>
        <w:bidi w:val="0"/>
        <w:spacing w:before="30" w:after="283"/>
        <w:jc w:val="left"/>
        <w:rPr/>
      </w:pPr>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The following is a reconciliation of the Company's reportable segment assets to the Company's total assets as of March 31, 2026 and December 31, 2025, respectively.</w:t>
      </w:r>
    </w:p>
    <w:p>
      <w:pPr>
        <w:pStyle w:val="TextBody"/>
        <w:bidi w:val="0"/>
        <w:spacing w:before="30" w:after="283"/>
        <w:jc w:val="left"/>
        <w:rPr/>
      </w:pPr>
      <w:r>
        <w:rPr/>
        <w:t> </w:t>
      </w:r>
    </w:p>
    <w:tbl>
      <w:tblPr>
        <w:tblW w:w="8100" w:type="dxa"/>
        <w:jc w:val="left"/>
        <w:tblInd w:w="0" w:type="dxa"/>
        <w:tblLayout w:type="fixed"/>
        <w:tblCellMar>
          <w:top w:w="28" w:type="dxa"/>
          <w:left w:w="28" w:type="dxa"/>
          <w:bottom w:w="28" w:type="dxa"/>
          <w:right w:w="28" w:type="dxa"/>
        </w:tblCellMar>
      </w:tblPr>
      <w:tblGrid>
        <w:gridCol w:w="4711"/>
        <w:gridCol w:w="146"/>
        <w:gridCol w:w="232"/>
        <w:gridCol w:w="1028"/>
        <w:gridCol w:w="146"/>
        <w:gridCol w:w="146"/>
        <w:gridCol w:w="277"/>
        <w:gridCol w:w="1223"/>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each of the three months ended March 31, 2026 and 2025, the Company’s international operations were conducted through (i) the Company’s wholly owned Australian subsidiary, The GEO Group Australia Pty. Ltd., through which the Company has management contracts for three correctional facilities and a contract to provide health services for several public prisons, and (ii) the Company’s wholly-owned subsidiary in South Africa, SACM, through which the Company manages one correctional facility.</w:t>
      </w:r>
    </w:p>
    <w:p>
      <w:pPr>
        <w:pStyle w:val="TextBody"/>
        <w:bidi w:val="0"/>
        <w:spacing w:before="180" w:after="283"/>
        <w:jc w:val="left"/>
        <w:rPr/>
      </w:pPr>
      <w:r>
        <w:rPr/>
        <w:t> </w:t>
      </w:r>
    </w:p>
    <w:tbl>
      <w:tblPr>
        <w:tblW w:w="5695" w:type="dxa"/>
        <w:jc w:val="left"/>
        <w:tblInd w:w="0" w:type="dxa"/>
        <w:tblLayout w:type="fixed"/>
        <w:tblCellMar>
          <w:top w:w="28" w:type="dxa"/>
          <w:left w:w="28" w:type="dxa"/>
          <w:bottom w:w="28" w:type="dxa"/>
          <w:right w:w="28" w:type="dxa"/>
        </w:tblCellMar>
      </w:tblPr>
      <w:tblGrid>
        <w:gridCol w:w="2346"/>
        <w:gridCol w:w="146"/>
        <w:gridCol w:w="268"/>
        <w:gridCol w:w="992"/>
        <w:gridCol w:w="146"/>
        <w:gridCol w:w="146"/>
        <w:gridCol w:w="268"/>
        <w:gridCol w:w="992"/>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705,213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604,647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tbl>
      <w:tblPr>
        <w:tblW w:w="6515" w:type="dxa"/>
        <w:jc w:val="left"/>
        <w:tblInd w:w="0" w:type="dxa"/>
        <w:tblLayout w:type="fixed"/>
        <w:tblCellMar>
          <w:top w:w="28" w:type="dxa"/>
          <w:left w:w="28" w:type="dxa"/>
          <w:bottom w:w="28" w:type="dxa"/>
          <w:right w:w="28" w:type="dxa"/>
        </w:tblCellMar>
      </w:tblPr>
      <w:tblGrid>
        <w:gridCol w:w="2926"/>
        <w:gridCol w:w="146"/>
        <w:gridCol w:w="232"/>
        <w:gridCol w:w="1028"/>
        <w:gridCol w:w="146"/>
        <w:gridCol w:w="146"/>
        <w:gridCol w:w="277"/>
        <w:gridCol w:w="1223"/>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1,884,198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p>
      <w:pPr>
        <w:pStyle w:val="TextBody"/>
        <w:bidi w:val="0"/>
        <w:spacing w:before="180" w:after="283"/>
        <w:jc w:val="left"/>
        <w:rPr/>
      </w:pPr>
      <w:r>
        <w:rPr/>
        <w:t> </w:t>
      </w:r>
    </w:p>
    <w:tbl>
      <w:tblPr>
        <w:tblW w:w="7585" w:type="dxa"/>
        <w:jc w:val="left"/>
        <w:tblInd w:w="0" w:type="dxa"/>
        <w:tblLayout w:type="fixed"/>
        <w:tblCellMar>
          <w:top w:w="28" w:type="dxa"/>
          <w:left w:w="28" w:type="dxa"/>
          <w:bottom w:w="28" w:type="dxa"/>
          <w:right w:w="28" w:type="dxa"/>
        </w:tblCellMar>
      </w:tblPr>
      <w:tblGrid>
        <w:gridCol w:w="4236"/>
        <w:gridCol w:w="146"/>
        <w:gridCol w:w="268"/>
        <w:gridCol w:w="992"/>
        <w:gridCol w:w="146"/>
        <w:gridCol w:w="146"/>
        <w:gridCol w:w="268"/>
        <w:gridCol w:w="992"/>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Secure Services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[1] Includes international secured services.</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Equity in Earnings of Affiliates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Equity in earnings of affiliates includes the Company’s 50% owned joint ventures in South African Custodial Services Pty. Limited (“SACS”), located in South Africa, and GEOAmey located in the United Kingdom. The Company's investments in these entities are accounted for under the equity method of accounting. The Company’s investments in these entities are presented as a component of Other Non-Current Assets in the accompanying consolidated balance sheets.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$0.1 million in earnings, net of tax, for SACS operations during the three months ended March 31, 2026, and $0.1 million in losses, net of tax, for SACS operations during the three months ended March 31, 2025, which are included in equity in earnings of affiliates, net of income tax provision in the accompanying consolidated statements of operations. As of March 31, 2026 and December 31, 2025, the Company’s investment in SACS was $5.1 million and $5.9 million, respectively, and represents its share of cumulative reported earnings.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has recorded $0.6 million in earnings, net of tax, for GEOAmey's operations during the three months ended March 31, 2026, and $0.7 million in earnings, net of tax, for GEOAmey's operations during the three months ended March 31, 2025, which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included in equity in earnings of affiliates, net of income tax provision in the accompanying consolidated statements of operations. As of March 31, 2026 and December 31, 2025, the Company’s investment in GEOAmey was $8.2 million and $7.7 million, respectively, and represents its share of cumulative reported earnings.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13. BENEFIT PLANS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tables summarize key information related to the Company’s pension plans and retirement agreements (in thousands):</w:t>
      </w:r>
    </w:p>
    <w:p>
      <w:pPr>
        <w:pStyle w:val="TextBody"/>
        <w:bidi w:val="0"/>
        <w:jc w:val="left"/>
        <w:rPr/>
      </w:pPr>
      <w:r>
        <w:rPr/>
        <w:t> </w:t>
      </w:r>
    </w:p>
    <w:tbl>
      <w:tblPr>
        <w:tblW w:w="7660" w:type="dxa"/>
        <w:jc w:val="left"/>
        <w:tblInd w:w="0" w:type="dxa"/>
        <w:tblLayout w:type="fixed"/>
        <w:tblCellMar>
          <w:top w:w="28" w:type="dxa"/>
          <w:left w:w="28" w:type="dxa"/>
          <w:bottom w:w="28" w:type="dxa"/>
          <w:right w:w="28" w:type="dxa"/>
        </w:tblCellMar>
      </w:tblPr>
      <w:tblGrid>
        <w:gridCol w:w="4111"/>
        <w:gridCol w:w="146"/>
        <w:gridCol w:w="382"/>
        <w:gridCol w:w="1223"/>
        <w:gridCol w:w="166"/>
        <w:gridCol w:w="146"/>
        <w:gridCol w:w="260"/>
        <w:gridCol w:w="835"/>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Unfunded Status of the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98" w:type="dxa"/>
        <w:jc w:val="left"/>
        <w:tblInd w:w="0" w:type="dxa"/>
        <w:tblLayout w:type="fixed"/>
        <w:tblCellMar>
          <w:top w:w="28" w:type="dxa"/>
          <w:left w:w="28" w:type="dxa"/>
          <w:bottom w:w="28" w:type="dxa"/>
          <w:right w:w="28" w:type="dxa"/>
        </w:tblCellMar>
      </w:tblPr>
      <w:tblGrid>
        <w:gridCol w:w="3541"/>
        <w:gridCol w:w="146"/>
        <w:gridCol w:w="420"/>
        <w:gridCol w:w="840"/>
        <w:gridCol w:w="150"/>
        <w:gridCol w:w="150"/>
        <w:gridCol w:w="420"/>
        <w:gridCol w:w="840"/>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service cost and other components of net periodic benefit cost are included in General and Administrative Expenses in the accompanying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long-term portion of the pension liability as of March 31, 2026 and December 31, 2025 was $28.7 million and $28.4 million, respectively, and is included in Other Non-Current Liabilities in the accompanying consolidated balance sheets.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Amended and Restated Executive Retirement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 non-qualified deferred compensation agreement with its Chairman and Chief Executive Officer. The agreement provides for a lump sum cash payment upon retirement, no sooner than age 55. As of March 31, 2026, the Chairman and Chief Executive Officer had reached age 55 and was eligible to receive the payment upon retirement. </w:t>
      </w:r>
    </w:p>
    <w:p>
      <w:pPr>
        <w:pStyle w:val="TextBody"/>
        <w:bidi w:val="0"/>
        <w:jc w:val="left"/>
        <w:rPr>
          <w:rFonts w:ascii="Times New Roman" w:hAnsi="Times New Roman"/>
          <w:color w:val="000000"/>
          <w:sz w:val="20"/>
        </w:rPr>
      </w:pPr>
      <w:r>
        <w:rPr>
          <w:rFonts w:ascii="Times New Roman" w:hAnsi="Times New Roman"/>
          <w:color w:val="000000"/>
          <w:sz w:val="20"/>
        </w:rPr>
        <w:t>On May 27, 2021, the Company and its Chairman entered into an Amended and Restated Executive Retirement Agreement which replaced his previous agreement, effective July 1, 2021. Pursuant to the terms of the Amended and Restated Executive Retirement Agreement, upon the date that the Chairman ceases to provide services to the Company, the Company will pay to the Chairman an amount equal to $3.6 million which shall be paid in cash. The payment shall be credited with interest at a rate of 5% compounded quarterly. Additionally, at the end of each calendar year provided that the Chairman is still providing services to GEO pursuant to the Chairman Agreement, as amended, GEO will credit an amount equal to $1.0 million at the end of each calendar year (the “Employment Contributions Account”). The Employment Contributions Account will be credited with interest at the rate of 5% compounded quarterly. The balance of the Amended and Restated Executive Retirement Agreement was approximately $17.2 million at March 31, 2026 and is included in Other Non-Current Liabilities in the accompanying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left"/>
        <w:rPr>
          <w:rFonts w:ascii="Times New Roman" w:hAnsi="Times New Roman"/>
          <w:b/>
          <w:color w:val="000000"/>
          <w:sz w:val="20"/>
        </w:rPr>
      </w:pPr>
      <w:r>
        <w:rPr>
          <w:rFonts w:ascii="Times New Roman" w:hAnsi="Times New Roman"/>
          <w:b/>
          <w:color w:val="000000"/>
          <w:sz w:val="20"/>
        </w:rPr>
        <w:t>14. RECENT ACCOUNTING PRONOUNCEMENTS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 was adopted in the current period:</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related to the estimation of expected credit losses for current accounts receivable and current contract assets arising from transactions accounted for under ASC 606 which the Company elected. The ASU is effective for the Registrants for annual and interim periods beginning after December 15, 2025. The guidance should be applied on a prospective basis. Early adoption was permitted. The adoption of this standard did not have a significant effect on the Company's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accounting standards will be adopted in future periods:</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evaluating the impact of adopting this standard on its consolidated financial statements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Company expects that this ASU will impact only the Company's disclosures and not its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legal proceedings and potential steps to address our future debt maturities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adverse impact on our financial results caused by the most recent and any future federal government shutdown;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build and/or open facilities as planned, successfully manage such facilities and successfully integrate such facilities into our operations without substantial additional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estimate the government’s level of utilization of public-private partnerships for secure services and the impact of any modifications or reductions by our government customers of their utilization of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project the size and growth of public-private partnerships for secure services in the U.S. and internationally and our ability to capitalize on opportunities for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delays encountered by states pursuing public-private partnerships for secure services and cost savings initiatives implemented by a number of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activate the inactive beds at our idle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or increase occupancy rates at our facilities and the impact of fluctuations in occupancy levels or participants in ISAP on our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diversify and grow our secure services, reentry, community-based services, monitoring services, evidence-based supervision and treatment programs and secure transportation services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new project development capital given the often short-term nature of the customers’ commitment to use newly developed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long-term earnings visibility;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conduct our operations in the United Kingdom and South Africa through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instability of foreign exchange rates, exposing us to currency risks in Australia, the United Kingdom, and South Africa, or other countries in which we may choose to conduct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unreimbursed labor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medical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costs and expenses relating to ongoing litigation arising from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associated with the U.S. Supreme Court agreeing to hear our appeal in the Nwauzor case and our ability to prevail on the merits, our company being required to record an additional accrual for the judgments in the future, and our ability to defend similar other pending litigation and the effect such litigation may have on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on an annual basis, loss reserves related to general liability, workers’ compensation and automobile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fulfill our debt service obligations and its impact on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deleverage and repay, refinance or otherwise address our debt maturities in an amount or on the timeline we expect,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current indebtedness levels, we may still incur more indebtedness, which could further exacerbate the risks relating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covenants in the indentures governing the Secured Notes and the Unsecured Notes and the Credit Agreement impose significant operating and financial restrictions which may adversely affect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indebtedness will require a significant amount of cash and our ability to generate cash depends on many factors beyond our control and we may not be able to generate the cash required to service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portions of our senior indebtedness have floating interest rates, 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 and these distributions may not be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satisfy our repurchase obligations in the event of a change of control because the terms of our indebtedness or lack of funds may prevent us from doing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collateral may not be sufficient to satisfy our obligations under the Secured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successfully complete any potential acquisitions of assets and businesses or sales of additional Company-owned assets and businesses, including the potential sale of multiple facilities to ICE, on commercially advantageous terms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future financing on desirable terms,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reduce the U.S. federal deficit could adversely affect our liquidity,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budgetary constraints may have a material adverse impact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 which may impact our cash flows and may not be recouped;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community opposition to facility locations, which may adversely affect our ability to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or maintain the insurance levels required by our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general insurance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may be materially adversely affected by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increase costs, expose us to uninsured losses and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 related to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rising cost and increasing difficulty of obtaining adequate levels of surety credit on favorable terms could adversely affect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data privacy, security and exchange legal requirements could have a material adverse impact on our business, financial position, results of operations, cash flows and reputation;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technological changes could cause our electronic monitoring products and technology, including our </w:t>
      </w:r>
      <w:r>
        <w:rPr>
          <w:rFonts w:ascii="Times New Roman" w:hAnsi="Times New Roman"/>
          <w:color w:val="111111"/>
          <w:sz w:val="20"/>
        </w:rPr>
        <w:t xml:space="preserve">BI VeriWatch </w:t>
      </w:r>
      <w:r>
        <w:rPr>
          <w:rFonts w:ascii="Times New Roman" w:hAnsi="Times New Roman"/>
          <w:color w:val="000000"/>
          <w:sz w:val="20"/>
        </w:rPr>
        <w:t>wrist-worn device, to become obsolete or require the redesign of our electronic monitoring products, which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any negative changes in the level of acceptance of or resistance to the use of electronic monitoring products, including our </w:t>
      </w:r>
      <w:r>
        <w:rPr>
          <w:rFonts w:ascii="Times New Roman" w:hAnsi="Times New Roman"/>
          <w:color w:val="111111"/>
          <w:sz w:val="20"/>
        </w:rPr>
        <w:t xml:space="preserve">BI VeriWatch </w:t>
      </w:r>
      <w:r>
        <w:rPr>
          <w:rFonts w:ascii="Times New Roman" w:hAnsi="Times New Roman"/>
          <w:color w:val="000000"/>
          <w:sz w:val="20"/>
        </w:rPr>
        <w:t>wrist-worn device, and services by governmental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a limited number of third parties to manufacture and supply quality infrastructure components for our electronic monitoring products. If our suppliers cannot provide the components or services we require and with such quality and at such cost as we expect, our ability to market and sell our electronic monitoring products and services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and patents in the electronic monitoring space could harm our ability to compete or grow;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local tax rules can adversely affect our results of operations and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risks related to corporate social responsibility;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growth in the utilization of detention beds by the federal government may not be realized, which could negatively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or securities convertible into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on the Share Repurchase Program on the anticipated timeline;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anti-takeover protections applicable to us may make an acquisition of us more difficult and reduce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maintain effective internal controls in accordance with Section 404 of the Sarbanes-Oxley Act of 2002 could have an adverse effect on our business and the trading price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additional debt securities that could limit our operating flexibility and negatively affect the value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anti-bribery and anti-corruption laws could subject us to penalties and other adverse consequences;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contained in our filings with the SEC, including, but not limited to, those detailed in our Annual Report on Form 10-K, our Quarterly Reports on Form 10-Q and our Current Reports on Form 8-K filed with the SEC.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Quarterly Report on Form 10-Q.</w:t>
      </w:r>
    </w:p>
    <w:p>
      <w:pPr>
        <w:pStyle w:val="TextBody"/>
        <w:bidi w:val="0"/>
        <w:spacing w:before="15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“Forward-Looking Information”, and under “Part I - Item 1A. Risk Factors” in our Annual Report on Form 10-K for the year ended December 31, 2025. This discussion should be read in conjunction with our unaudited consolidated financial statements and notes thereto included in this Quarterly Report on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 based programs. We also provide secure transportation services domestically and in the United Kingdom through our joint venture GEOAmey.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2026, our worldwide operations include the management and/or ownership of approximately 75,000 beds at 96 secure services and community based facilities, including idle facilities, and also include the provision of community supervision services for individuals through an array of technology products including radio frequency, GPS, and alcohol monitoring devices.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provide a diversified scope of services on behalf of our government agency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secure facility management services involve the provision of security, administrative, rehabilitation, education, and food services at secure services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comprehensive electronic monitoring and supervision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new facilities, using our project development experience to design, construct and finance what we believe are state-of-the-art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secure transportation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services are provided at facilities which we either own, lease or are owned by our government agency partners.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the three months ended March 31, 2026 and 2025, we had consolidated revenues of $705.2 million and $604.6 million, respectively. We maintained an average company-wide facility occupancy rate of approximately 91% including 68,185 active beds and excluding 6,646 idle beds, which includes those being marketed to potential customers, for the three months ended March 31, 2026, and approximately 88% including 69,125 active beds and excluding 7,453 idle beds, which includes those being marketed to potential customers, for the three months ended March 31,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Reference is made to Part II, Item 7 of our Annual Report on Form 10-K filed with the SEC on February 25, 2026, for further discussion and analysis of information pertaining to our financial condition and results of operations as of and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currently marketing (or awaiting activation) 6,646 vacant beds at eight idle facilities to potential customers. The carrying values of these idle facilities totaled $189.8 million as of March 31, 2026, excluding equipment and other assets that can be easily transferred for use at other facilities. Refer to Note 11 - Commitments, Contingencies and Other Matters of the Notes to Unaudited Consolidated Financial Statements included in Part I, Item 1 of this Quarterly Report on Form 10-Q for further discussion.</w:t>
      </w:r>
    </w:p>
    <w:p>
      <w:pPr>
        <w:pStyle w:val="TextBody"/>
        <w:bidi w:val="0"/>
        <w:spacing w:before="27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accompanying unaudited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as of the date of the financial statements and the reported amounts of revenue and expenses during the reporting period. We routinely evaluate our estimates based on historical experience and on various other assumptions that management believes are reasonable under the circumstances. Actual results may differ from these estimates under different assumptions or conditions. During the three months ended March 31, 2026, we did not experience any significant changes in estimates or judgments inherent in the preparation of our consolidated financial statements. A summary of our significant accounting policies is contained in Note 1 to our consolidated financial statements included in our Annual Report on Form 10-K for the year ended December 31, 2025.</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discussion and analysis should be read in conjunction with our unaudited consolidated financial statements and the notes to our unaudited consolidated financial statements included in Part I, Item 1, of this Quarterly Report on Form 10-Q.</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Comparison of First Quarter 2026 and First Quarter 2025</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7"/>
        <w:gridCol w:w="146"/>
        <w:gridCol w:w="211"/>
        <w:gridCol w:w="781"/>
        <w:gridCol w:w="146"/>
        <w:gridCol w:w="146"/>
        <w:gridCol w:w="177"/>
        <w:gridCol w:w="699"/>
        <w:gridCol w:w="271"/>
        <w:gridCol w:w="146"/>
        <w:gridCol w:w="211"/>
        <w:gridCol w:w="781"/>
        <w:gridCol w:w="146"/>
        <w:gridCol w:w="146"/>
        <w:gridCol w:w="177"/>
        <w:gridCol w:w="699"/>
        <w:gridCol w:w="271"/>
        <w:gridCol w:w="146"/>
        <w:gridCol w:w="211"/>
        <w:gridCol w:w="781"/>
        <w:gridCol w:w="166"/>
        <w:gridCol w:w="146"/>
        <w:gridCol w:w="207"/>
        <w:gridCol w:w="664"/>
        <w:gridCol w:w="343"/>
      </w:tblGrid>
      <w:tr>
        <w:trPr/>
        <w:tc>
          <w:tcPr>
            <w:tcW w:w="2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U.S. Secure Services increased by $96.9 million in the first quarter ended March 31, 2026 (the "First Quarter 2026") compared to the first quarter ended March 31, 2025 (the "First Quarter 2025") due to increases of $79.1 million related to the activations of our new contracts at our company-owned Delaney Hall, North Lake and D. Ray James facilities as well as our managed-only contract at the North Florida Detention Center and new transportation contracts. There were also aggregate net increases of $37.2 million due to increases in occupancies, transportation, rates and/or per diem amounts in connection with contract modifications. Partially offsetting these increases were decreases of approximately $19.3 million related to contract terminations.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number of compensated mandays in U.S. Secure Services facilities was approximately 4.4 million in First Quarter 2026 compared to approximately 4.1 million in First Quarter 2025. We look at the average occupancy in our facilities to determine how we are managing our available beds. The average occupancy is calculated by taking compensated mandays as a percentage of capacity. The average occupancy in our U.S. Secure Services facilities was approximately 91% and 87.6% of capacity in First Quarter 2026 and First Quarter 2025, respectively, excluding idle facilities.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for Electronic Monitoring and Supervision Services decreased in First Quarter 2026 compared to First Quarter 2025 primarily due to a decrease in average participant counts under the Intensive Supervision and Appearance Program ("ISAP").</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 xml:space="preserve">Revenues for Reentry Services increased slightly by $0.9 million in First Quarter 2026 compared to First Quarter 2025 primarily due to aggregate net increases of $1.9 million related to increased census levels at certain of our community-based and reentry centers due to increased programming needs and referrals due to new day reporting center contracts. These increases were partially offset by decreases due to contract terminations of $1.0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International Services increased by $6.2 million in First Quarter 2026 compared to First Quarter 2025. We experienced a net increase of $0.6 million primarily due to new health care contracts which was partially offset by the transition of our managed-only contract for the Junee Correctional Centre in Australia to the government effective March 31, 2025. We also experienced an increase due to foreign exchange rate fluctuations of $5.6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7"/>
        <w:gridCol w:w="146"/>
        <w:gridCol w:w="211"/>
        <w:gridCol w:w="781"/>
        <w:gridCol w:w="146"/>
        <w:gridCol w:w="146"/>
        <w:gridCol w:w="219"/>
        <w:gridCol w:w="702"/>
        <w:gridCol w:w="271"/>
        <w:gridCol w:w="146"/>
        <w:gridCol w:w="211"/>
        <w:gridCol w:w="781"/>
        <w:gridCol w:w="146"/>
        <w:gridCol w:w="146"/>
        <w:gridCol w:w="219"/>
        <w:gridCol w:w="702"/>
        <w:gridCol w:w="271"/>
        <w:gridCol w:w="146"/>
        <w:gridCol w:w="211"/>
        <w:gridCol w:w="676"/>
        <w:gridCol w:w="146"/>
        <w:gridCol w:w="146"/>
        <w:gridCol w:w="207"/>
        <w:gridCol w:w="664"/>
        <w:gridCol w:w="318"/>
      </w:tblGrid>
      <w:tr>
        <w:trPr/>
        <w:tc>
          <w:tcPr>
            <w:tcW w:w="2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Operating expenses for U.S. Secure Services increased by $63.7 million in First Quarter 2026 compared to First Quarter 2025 primarily due to aggregate net increases in connection with labor and medical costs, transportation services, increased occupancies and additional staffing and training costs of $36.1 million. We also experienced an increase of approximately $44.6 million related to the activations of our new contracts at our company-owned Delaney Hall, North Lake and D. Ray James facilities as well as our managed-only contract at the North Florida Detention Center and new transportation contracts. Partially offsetting these increases were decreases of approximately $17.0 million related to contract terminations.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expenses for Electronic Monitoring and Supervision Services were relatively consistent in First Quarter 2026 compared to First Quarter 2025. </w:t>
      </w:r>
    </w:p>
    <w:p>
      <w:pPr>
        <w:pStyle w:val="TextBody"/>
        <w:bidi w:val="0"/>
        <w:spacing w:before="270" w:after="283"/>
        <w:jc w:val="left"/>
        <w:rPr>
          <w:rFonts w:ascii="Times New Roman" w:hAnsi="Times New Roman"/>
          <w:sz w:val="20"/>
        </w:rPr>
      </w:pPr>
      <w:r>
        <w:rPr>
          <w:rFonts w:ascii="Times New Roman" w:hAnsi="Times New Roman"/>
          <w:i/>
          <w:color w:val="000000"/>
          <w:sz w:val="20"/>
        </w:rPr>
        <w:t>Reentry Services</w:t>
      </w:r>
      <w:r>
        <w:rPr>
          <w:rFonts w:ascii="Times New Roman" w:hAnsi="Times New Roman"/>
          <w:color w:val="000000"/>
          <w:sz w:val="20"/>
        </w:rPr>
        <w:t xml:space="preserve"> </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Operating expenses for Reentry Services increased by $1.6 million during First Quarter 2026 compared to First Quarter 2025. We experienced an aggregate net increase of $2.5 million due to increased programming needs and referrals due to new day reporting center contracts which was partially offset by a decrease of $0.9 million due to contract terminations.</w:t>
      </w:r>
    </w:p>
    <w:p>
      <w:pPr>
        <w:pStyle w:val="TextBody"/>
        <w:bidi w:val="0"/>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for International Services increased in First Quarter 2026 compared to First Quarter 2025 by $2.4 million. We experienced a net decrease of $2.4 million primarily due to the transition of our managed-only contract for the Junee Correctional Centre in Australia to the government effective March 31, 2025. This was partially offset by an increase of $4.8 million related to foreign exchange rate fluctuations.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0"/>
        <w:gridCol w:w="146"/>
        <w:gridCol w:w="211"/>
        <w:gridCol w:w="676"/>
        <w:gridCol w:w="146"/>
        <w:gridCol w:w="146"/>
        <w:gridCol w:w="264"/>
        <w:gridCol w:w="656"/>
        <w:gridCol w:w="271"/>
        <w:gridCol w:w="146"/>
        <w:gridCol w:w="211"/>
        <w:gridCol w:w="676"/>
        <w:gridCol w:w="146"/>
        <w:gridCol w:w="146"/>
        <w:gridCol w:w="264"/>
        <w:gridCol w:w="656"/>
        <w:gridCol w:w="271"/>
        <w:gridCol w:w="146"/>
        <w:gridCol w:w="214"/>
        <w:gridCol w:w="582"/>
        <w:gridCol w:w="166"/>
        <w:gridCol w:w="146"/>
        <w:gridCol w:w="189"/>
        <w:gridCol w:w="682"/>
        <w:gridCol w:w="348"/>
      </w:tblGrid>
      <w:tr>
        <w:trPr/>
        <w:tc>
          <w:tcPr>
            <w:tcW w:w="2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U.S. Secure Services depreciation and amortization expense increased in First Quarter 2026 compared to First Quarter 2025 primarily due to renovations at certain of our company-owned and leased facilities.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Electronic Monitoring and Supervision Services depreciation and amortization expense increased in First Quarter 2026 compared to First Quarter 2025 primarily due to increases in monitoring equipment.</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Reentry Services depreciation and amortization expense decreased in First Quarter 2026 compared to First Quarter 2025 primarily due to certain assets becoming fully depreciated.</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International Services depreciation and amortization expense was relatively consistent in First Quarter 2026 compared to First Quarter 2025.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30"/>
        <w:gridCol w:w="146"/>
        <w:gridCol w:w="211"/>
        <w:gridCol w:w="676"/>
        <w:gridCol w:w="146"/>
        <w:gridCol w:w="146"/>
        <w:gridCol w:w="281"/>
        <w:gridCol w:w="699"/>
        <w:gridCol w:w="271"/>
        <w:gridCol w:w="146"/>
        <w:gridCol w:w="211"/>
        <w:gridCol w:w="676"/>
        <w:gridCol w:w="146"/>
        <w:gridCol w:w="146"/>
        <w:gridCol w:w="281"/>
        <w:gridCol w:w="699"/>
        <w:gridCol w:w="271"/>
        <w:gridCol w:w="146"/>
        <w:gridCol w:w="214"/>
        <w:gridCol w:w="582"/>
        <w:gridCol w:w="146"/>
        <w:gridCol w:w="146"/>
        <w:gridCol w:w="250"/>
        <w:gridCol w:w="621"/>
        <w:gridCol w:w="318"/>
      </w:tblGrid>
      <w:tr>
        <w:trPr/>
        <w:tc>
          <w:tcPr>
            <w:tcW w:w="2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$2.8 million in First Quarter 2026 compared to First Quarter 2025 primarily due to higher employee related benefit costs and support for the revenue growth from our new contract awards.</w:t>
      </w:r>
    </w:p>
    <w:p>
      <w:pPr>
        <w:pStyle w:val="TextBody"/>
        <w:bidi w:val="0"/>
        <w:spacing w:before="90" w:after="283"/>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Interest Income and Interest Expense</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323"/>
        <w:gridCol w:w="802"/>
        <w:gridCol w:w="271"/>
        <w:gridCol w:w="146"/>
        <w:gridCol w:w="211"/>
        <w:gridCol w:w="676"/>
        <w:gridCol w:w="146"/>
        <w:gridCol w:w="146"/>
        <w:gridCol w:w="323"/>
        <w:gridCol w:w="802"/>
        <w:gridCol w:w="271"/>
        <w:gridCol w:w="146"/>
        <w:gridCol w:w="211"/>
        <w:gridCol w:w="631"/>
        <w:gridCol w:w="166"/>
        <w:gridCol w:w="146"/>
        <w:gridCol w:w="189"/>
        <w:gridCol w:w="682"/>
        <w:gridCol w:w="3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decreased by $0.3 million in First Quarter 2026 compared to First Quarter 2025 primarily due to lower cash balances on hand internationally and the effect of foreign exchange rates.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decreased by $4.1 million in First Quarter 2026 compared to First Quarter 2025 primarily due to lower overall principal balances and lower interest rates. On July 14, 2025, we amended our Credit Agreement which increased our borrowing capacity and lowered the applicable interest rate. We also paid off our Term Loan under the credit agreement in July 2025. Refer to Note 10 - Debt of the Notes to Unaudited Consolidated Financial Statements in Part I, Item 1 of this Quarterly Report on Form 10-Q for further discussion.</w:t>
      </w:r>
    </w:p>
    <w:p>
      <w:pPr>
        <w:pStyle w:val="TextBody"/>
        <w:bidi w:val="0"/>
        <w:spacing w:before="270" w:after="283"/>
        <w:jc w:val="left"/>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76"/>
        <w:gridCol w:w="146"/>
        <w:gridCol w:w="211"/>
        <w:gridCol w:w="676"/>
        <w:gridCol w:w="146"/>
        <w:gridCol w:w="146"/>
        <w:gridCol w:w="265"/>
        <w:gridCol w:w="849"/>
        <w:gridCol w:w="271"/>
        <w:gridCol w:w="146"/>
        <w:gridCol w:w="211"/>
        <w:gridCol w:w="571"/>
        <w:gridCol w:w="146"/>
        <w:gridCol w:w="146"/>
        <w:gridCol w:w="320"/>
        <w:gridCol w:w="793"/>
        <w:gridCol w:w="271"/>
        <w:gridCol w:w="146"/>
        <w:gridCol w:w="211"/>
        <w:gridCol w:w="676"/>
        <w:gridCol w:w="146"/>
        <w:gridCol w:w="146"/>
        <w:gridCol w:w="177"/>
        <w:gridCol w:w="694"/>
        <w:gridCol w:w="319"/>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and the effective tax rate increased in First Quarter 2026 compared to First Quarter 2025 principally due to an increase in pre-tax income and a decrease in discrete tax benefits. In First Quarter 2026, there was a $0.9 million net discrete tax benefit as compared to a $4.2 million net discrete tax benefit in First Quarter 2025. Included in the discrete tax benefit in First Quarter 2026 was a $0.9 million discrete tax benefit related to stock compensation as compared to a $4.2 million discrete tax benefit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First Quarter 2025. We estimate our 2026 annual effective tax rate to be in the range of approximately 29% to 31%, exclusive of any discrete items.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Equity in Earnings of Affiliates, net of Income Tax Provision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86"/>
        <w:gridCol w:w="146"/>
        <w:gridCol w:w="211"/>
        <w:gridCol w:w="421"/>
        <w:gridCol w:w="146"/>
        <w:gridCol w:w="146"/>
        <w:gridCol w:w="267"/>
        <w:gridCol w:w="664"/>
        <w:gridCol w:w="271"/>
        <w:gridCol w:w="146"/>
        <w:gridCol w:w="211"/>
        <w:gridCol w:w="421"/>
        <w:gridCol w:w="146"/>
        <w:gridCol w:w="146"/>
        <w:gridCol w:w="267"/>
        <w:gridCol w:w="664"/>
        <w:gridCol w:w="271"/>
        <w:gridCol w:w="146"/>
        <w:gridCol w:w="242"/>
        <w:gridCol w:w="554"/>
        <w:gridCol w:w="166"/>
        <w:gridCol w:w="146"/>
        <w:gridCol w:w="189"/>
        <w:gridCol w:w="682"/>
        <w:gridCol w:w="350"/>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 Earnings of Affiliates, net of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affiliates, presented net of income tax provision, represents the earnings of SACS and GEOAmey in the aggregate. Equity in earnings of affiliates decreased slightly during First Quarter 2026 compared to First Quarter 2025 primarily due to less favorable performance at SACS.</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90" w:after="283"/>
        <w:jc w:val="left"/>
        <w:rPr/>
      </w:pPr>
      <w:r>
        <w:rPr/>
        <w:t> </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Capital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cash requirements consist of amounts needed for working capital, debt service, supply purchases, research and development costs related to new electronic monitoring products,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currently have contractual commitments for a number of projects using Company financing. We estimate that the cost of these existing active capital projects will be approximately $45.0 million of which $27.8 million was spent through March 31, 2026. We estimate that the remaining capital requirements related to these capital projects will be $17.2 million which will be spent through the remainder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plan to fund all of our capital needs, including capital expenditures, from cash on hand, cash from operations, borrowings under our Credit Agreement (as defined below) and any other financings which our management and Board, in their discretion, may consummate. Currently, our primary source of liquidity to meet these requirements is cash flow from operations and borrowings under our Credit Agreement. Our management believes that our financial resources and sources of liquidity will allow us to manage our business, financial condition, results of operations and cash flows. We completed our annual budgeting process, and for 2026, we will continue to strategically manage our capital expenditures to maintain both short and long term financial objectives. Additionally, we may from time to time pursue transactions for the potential sale or acquisition of assets and businesses and/or other strategic transactions. Taking into account the impact of the federal government shutdown, that recently ended on April 30, 2026, our management believes that cash on hand, cash flows from operations and availability under our Credit Agreement will be adequate to support our capital requirements for 2026 as disclosed under “Capital Requirements” above and the next twelve months.</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Refer to Note 10 - Debt of the Notes to Unaudited Consolidated Financial Statements included in Part I, Item 1 of this Quarterly Report on Form 10-Q for further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opportunities for future business and/or asset acquisitions or dispositions as we deem appropriate when market conditions present opportunities. If we are successful in our pursuit of any new projects, our cash on hand, cash flows from operations and borrowings under the new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 governing the Secured Notes, the indenture governing the Unsecured Notes and our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and including the impact of the federal government shutdown, that recently ended on April 30, 2026, a number of state government agencies have been suffering from budget deficits and liquidity issues. While we were in compliance with our debt covenants as of March 31, 2026 and we expect to continue to be in compliance with our debt covenants, if these constraints were to intensify, our liquidity could be materially adversely impacted as could our ability to remain in compliance with these debt covenants.</w:t>
      </w:r>
    </w:p>
    <w:p>
      <w:pPr>
        <w:pStyle w:val="TextBody"/>
        <w:bidi w:val="0"/>
        <w:jc w:val="left"/>
        <w:rPr/>
      </w:pPr>
      <w:r>
        <w:rPr/>
        <w: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Guarantor Financial Information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Summarized financial information is provided for GEO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GEO and the Subsidiary Guarantor entities with non-guarantor entities have not been eliminated. Intercompany transactions between GEO and the Subsidiary Guarantors have been eliminated and equity in earnings from and investments in non-guarantor subsidiaries have not been presented.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Summarized statement of operations (in thousands):</w:t>
      </w:r>
    </w:p>
    <w:tbl>
      <w:tblPr>
        <w:tblW w:w="8310" w:type="dxa"/>
        <w:jc w:val="left"/>
        <w:tblInd w:w="0" w:type="dxa"/>
        <w:tblLayout w:type="fixed"/>
        <w:tblCellMar>
          <w:top w:w="28" w:type="dxa"/>
          <w:left w:w="28" w:type="dxa"/>
          <w:bottom w:w="28" w:type="dxa"/>
          <w:right w:w="28" w:type="dxa"/>
        </w:tblCellMar>
      </w:tblPr>
      <w:tblGrid>
        <w:gridCol w:w="4471"/>
        <w:gridCol w:w="146"/>
        <w:gridCol w:w="341"/>
        <w:gridCol w:w="1264"/>
        <w:gridCol w:w="146"/>
        <w:gridCol w:w="146"/>
        <w:gridCol w:w="341"/>
        <w:gridCol w:w="1264"/>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balance sheets (in thousands):</w:t>
      </w:r>
    </w:p>
    <w:p>
      <w:pPr>
        <w:pStyle w:val="TextBody"/>
        <w:bidi w:val="0"/>
        <w:jc w:val="left"/>
        <w:rPr/>
      </w:pPr>
      <w:r>
        <w:rPr/>
        <w:t> </w:t>
      </w:r>
    </w:p>
    <w:tbl>
      <w:tblPr>
        <w:tblW w:w="5520" w:type="dxa"/>
        <w:jc w:val="left"/>
        <w:tblInd w:w="0" w:type="dxa"/>
        <w:tblLayout w:type="fixed"/>
        <w:tblCellMar>
          <w:top w:w="28" w:type="dxa"/>
          <w:left w:w="28" w:type="dxa"/>
          <w:bottom w:w="28" w:type="dxa"/>
          <w:right w:w="28" w:type="dxa"/>
        </w:tblCellMar>
      </w:tblPr>
      <w:tblGrid>
        <w:gridCol w:w="2131"/>
        <w:gridCol w:w="146"/>
        <w:gridCol w:w="232"/>
        <w:gridCol w:w="1028"/>
        <w:gridCol w:w="146"/>
        <w:gridCol w:w="146"/>
        <w:gridCol w:w="277"/>
        <w:gridCol w:w="122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2,021,019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Includes amounts due from non-guarantor subsidiaries of $53.4 million and $52.8 million as of March 31, 2026 and December 31,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Includes amounts due to non-guarantor subsidiaries of $41.3 million and $42.1 million as of March 31, 2026 and December 31, 2025, respectively.</w:t>
      </w:r>
    </w:p>
    <w:p>
      <w:pPr>
        <w:pStyle w:val="TextBody"/>
        <w:bidi w:val="0"/>
        <w:jc w:val="left"/>
        <w:rPr/>
      </w:pPr>
      <w:r>
        <w:rPr/>
        <w:t> </w:t>
      </w:r>
    </w:p>
    <w:p>
      <w:pPr>
        <w:pStyle w:val="TextBody"/>
        <w:bidi w:val="0"/>
        <w:spacing w:before="7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Except as discussed in the notes to our Unaudited Consolidated Financial Statements included in Part I, Item 1 of this Quarterly Report on Form 10-Q, we do not have any off-balance sheet arrangements.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Cash Flow</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Cash, cash equivalents and restricted cash and cash equivalents as of March 31, 2026 was $141.8 million compared to $117.2 million as of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provided by operating activities amounted to $156.5 million for the three months ended March 31, 2026 versus net cash provided by operating activities of $71.2 million for the three months ended March 31, 2025. Cash provided by operating activities during the three months ended March 31, 2026 was positively impacted by non-cash expenses such as depreciation and amortization, amortization of debt issuance costs, discount and/or premium and other non-cash interest, dividends received from unconsolidated joint ventures, realized/unrealized loss on investments, loss on disposal of property and equipment, net and stock-based compensation expense. Equity in earnings of affiliates negatively impacted cash. Accounts receivable, prepaid expenses and other assets decreased in total by $31.2 million, representing a positive impact on cash. The decrease was primarily driven by the timing of billings and collections. Accounts payable, accrued expenses and other liabilities increased by $37.4 million which positively impacted cash. The increase was primarily driven by the timing of payments. </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three months ended March 31, 2025 was positively impacted by non-cash expenses such as depreciation and amortization, amortization of debt issuance costs, discount and/or premium and other non-cash interest, dividends received from unconsolidated joint ventures, loss on sale/disposal of property and equipment, net and stock-based compensation expense. Equity in earnings of affiliates, net of tax and realized/unrealized gain on investments negatively impacted cash. Accounts receivable, prepaid expenses and other assets increased in total by $9.0 million, representing a negative impact on cash. The increase was primarily driven by the timing of billings and collections. Accounts payable, accrued expenses and other liabilities increased by $21.0 million which positively impacted cash. The increase was primarily driven by the timing of payments.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used in investing activities of $22.2 million during the three months ended March 31, 2026 was primarily the result of proceeds from the sale of real estate and other assets of $0.5 million, capital expenditures of $21.7 million, purchases of marketable securities of $2.6 million and proceeds from sales of marketable securities of $1.7 million. Net cash used in investing activities of $31.1 million during the three months ended March 31, 2025 was primarily the result of capital expenditures of $30.8 million, purchases of marketable securities of $1.0 million and proceeds from sales of marketable securities of $0.6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used in financing activities during the three months ended March 31, 2026 was approximately $117.3 million compared to net cash used in financing activities of $49.4 million during the three months ended March 31, 2025. Net cash used in financing activities during the three months ended March 31, 2026 was primarily the result of proceeds from the revolver of $60.0 million, payments on the revolver of $121.0 million, payments on long-term debt of $0.4 million, proceeds from the exercise of stock options of $0.4 million, payment for the repurchase of common stock of $50.1 million and taxes paid related to net share settlement of equity awards of $6.2 million. Net cash used in financing activities during the three months ended March 31, 2025 was primarily the result of payments on the revolver of $30.0 million, payments on long-term debt of $0.6 million, proceeds from the exercise of stock options of $3.3 million and taxes paid related to net share settlement of equity awards of $22.2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Non-GAAP Measures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EBITDA is defined as net income adjusted by adding provision for income tax, interest expense, net of interest income and depreciation and amortization. Adjusted EBITDA is defined as EBITDA adjusted for net loss attributable to non-controlling interests, stock-based compensation expenses, pre-tax, transaction fees, pre-tax, employee restructuring expenses, pre-tax, close-out expenses, pre-tax and other non-cash revenues and expenses, pre-tax, and certain other adjustments as defined from time to time. </w:t>
      </w:r>
    </w:p>
    <w:p>
      <w:pPr>
        <w:pStyle w:val="TextBody"/>
        <w:bidi w:val="0"/>
        <w:jc w:val="both"/>
        <w:rPr>
          <w:rFonts w:ascii="Times New Roman" w:hAnsi="Times New Roman"/>
          <w:color w:val="000000"/>
          <w:sz w:val="20"/>
        </w:rPr>
      </w:pPr>
      <w:r>
        <w:rPr>
          <w:rFonts w:ascii="Times New Roman" w:hAnsi="Times New Roman"/>
          <w:color w:val="000000"/>
          <w:sz w:val="20"/>
        </w:rPr>
        <w:t xml:space="preserve">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w:t>
      </w:r>
    </w:p>
    <w:p>
      <w:pPr>
        <w:pStyle w:val="TextBody"/>
        <w:bidi w:val="0"/>
        <w:jc w:val="both"/>
        <w:rPr>
          <w:rFonts w:ascii="Times New Roman" w:hAnsi="Times New Roman"/>
          <w:color w:val="000000"/>
          <w:sz w:val="20"/>
        </w:rPr>
      </w:pPr>
      <w:r>
        <w:rPr>
          <w:rFonts w:ascii="Times New Roman" w:hAnsi="Times New Roman"/>
          <w:color w:val="000000"/>
          <w:sz w:val="20"/>
        </w:rPr>
        <w:t xml:space="preserve">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reconciliation of net income to EBITDA and Adjusted EBITDA for the three months ended March 31, 2026 and 2025 is as follows (in thousands):</w:t>
      </w:r>
    </w:p>
    <w:p>
      <w:pPr>
        <w:pStyle w:val="TextBody"/>
        <w:bidi w:val="0"/>
        <w:jc w:val="left"/>
        <w:rPr/>
      </w:pPr>
      <w:r>
        <w:rPr/>
        <w:t> </w:t>
      </w:r>
    </w:p>
    <w:tbl>
      <w:tblPr>
        <w:tblW w:w="8575" w:type="dxa"/>
        <w:jc w:val="left"/>
        <w:tblInd w:w="0" w:type="dxa"/>
        <w:tblLayout w:type="fixed"/>
        <w:tblCellMar>
          <w:top w:w="28" w:type="dxa"/>
          <w:left w:w="28" w:type="dxa"/>
          <w:bottom w:w="28" w:type="dxa"/>
          <w:right w:w="28" w:type="dxa"/>
        </w:tblCellMar>
      </w:tblPr>
      <w:tblGrid>
        <w:gridCol w:w="5386"/>
        <w:gridCol w:w="146"/>
        <w:gridCol w:w="268"/>
        <w:gridCol w:w="992"/>
        <w:gridCol w:w="166"/>
        <w:gridCol w:w="146"/>
        <w:gridCol w:w="299"/>
        <w:gridCol w:w="961"/>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of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 (Subtract):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fees,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restructuring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Close-out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revenues and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99,765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includes income tax provision on equity in earnings of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Outlook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contains statements that are not limited to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statements. Please refer to “Part I - Item 1A. Risk Factors” and the "Forward-Looking Statements - Safe Harbor" sections in our Annual Report on Form 10-K for the fiscal year ended December 31, 2025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pStyle w:val="TextBody"/>
        <w:bidi w:val="0"/>
        <w:spacing w:before="0" w:after="75"/>
        <w:jc w:val="left"/>
        <w:rPr/>
      </w:pPr>
      <w:r>
        <w:rPr/>
        <w:t> </w:t>
      </w:r>
    </w:p>
    <w:p>
      <w:pPr>
        <w:pStyle w:val="TextBody"/>
        <w:bidi w:val="0"/>
        <w:spacing w:before="45" w:after="283"/>
        <w:jc w:val="both"/>
        <w:rPr>
          <w:rFonts w:ascii="Times New Roman" w:hAnsi="Times New Roman"/>
          <w:color w:val="000000"/>
          <w:sz w:val="20"/>
        </w:rPr>
      </w:pPr>
      <w:r>
        <w:rPr>
          <w:rFonts w:ascii="Times New Roman" w:hAnsi="Times New Roman"/>
          <w:color w:val="000000"/>
          <w:sz w:val="20"/>
        </w:rPr>
        <w:t>We continue to be encouraged by the current landscape of growth opportunities. We are preparing for what we believe is an unprecedented opportunity to help the federal government meet its expanded immigration enforcement priorities. We are taking several important steps to meet this opportunity, including making a previously announced significant investment in capital expenditures to strengthen our capabilities to deliver expanded detention capacity, secure transportation, and electronic monitoring and related services to U.S. Immigration and Customs Enforcement and the federal government. We have also been in discussions with ICE regarding the potential sale of multiple facilities, subject to mutual agreement on price and our continued management of those facilities under long-term support services contracts. At this time, there is no definitive agreement in place with ICE and no precise timeline for the closing of any such transactions. Also, we can give no assurance that these transactions will take place at all.</w:t>
      </w:r>
    </w:p>
    <w:p>
      <w:pPr>
        <w:pStyle w:val="TextBody"/>
        <w:bidi w:val="0"/>
        <w:spacing w:before="120" w:after="283"/>
        <w:jc w:val="left"/>
        <w:rPr/>
      </w:pPr>
      <w:r>
        <w:rPr/>
        <w:t> </w:t>
      </w:r>
    </w:p>
    <w:p>
      <w:pPr>
        <w:pStyle w:val="TextBody"/>
        <w:bidi w:val="0"/>
        <w:spacing w:before="0" w:after="75"/>
        <w:jc w:val="left"/>
        <w:rPr>
          <w:rFonts w:ascii="Times New Roman" w:hAnsi="Times New Roman"/>
          <w:color w:val="000000"/>
          <w:sz w:val="20"/>
        </w:rPr>
      </w:pPr>
      <w:r>
        <w:rPr>
          <w:rFonts w:ascii="Times New Roman" w:hAnsi="Times New Roman"/>
          <w:color w:val="000000"/>
          <w:sz w:val="20"/>
        </w:rPr>
        <w:t>Any positive trends in the industry may be offset by several factors, including the impact of the federal government shutdown that recently ended on April 30, 2026 and any future federal government shutdown,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consist of those expenses incurred in the operation and management of our contracts to provide services to our governmental clients. Labor and related costs represented approximately 72% and 70% of our operating expenses during the three months ended March 31, 2026 and 2025, respectively. Additional operating expenses include food, utilities and medical costs. During the three months ended March 31, 2026 and 2025, operating expenses totaled approximately 74% and 75%, respectively, of our consolidated revenues. We expect our operating expenses as a percentage of revenues in 2026 will be impacted by the opening of any new or existing idle facilities as a result of the cost of transitioning and/or start-up operations related to a facility opening. We also expect that our operating expenses will be impacted by the effect of inflation on costs related to personnel, utilities, insurance, and medical and food, among other operational costs. During 2026, we will incur carrying costs for facilities that are currently vacant.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General and administrative expenses consist primarily of corporate management salaries and benefits, professional fees and other administrative expenses. During the three months ended March 31, 2026 and 2025, general and administrative expenses totaled approximately 9% and 10%, respectively, of our consolidated revenues. We expect general and administrative expenses as a percentage of revenues in 2026 to remain consistent or decrease as a result of cost savings initiatives.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currently marketing (or awaiting activation) 6,646 vacant beds at six U.S. Secure Services and at two of our Reentry Services idle facilities to potential customers. One of our U.S. Secure Services idle facilities, the 700-bed Cheyenne Mountain Recovery Center, is currently under a contract that has not yet been activated. The annual net carrying cost of our idle facilities in 2026 is estimated to be $26.7 million, including depreciation expense of $15.2 million. As of March 31, 2026, these eight facilities had a combined net book value of $189.8 million. We currently do not have any firm commitment or agreement in place to activate the idle facilities (except for the Cheyenne Mountain Recovery Center). Historically, some facilities have been idle for multiple years before they received a new contract award. These idle facilities are included in the U.S. Secure Services and Reentry Services segments. The per diem rates that we charge our clients often vary by contract across our portfolio. However, if the remaining idle facilities were to be activated using our U.S. Secure Services and Reentry Services average per diem rates in 2026 (calculated as the U.S. Secure Services and Reentry Services revenue divided by the number of U.S. Secure Services and Reentry Services mandays) and based on the average occupancy rate in our facilities through March 31, 2026, we would expect to receive incremental annualized revenue of approximately $300 million and an annualized increase in earnings per share of approximately $0.25 to $0.30 per share based on our average operating margins.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exposed to market risks related to changes in interest rates with respect to our Credit Agreement. Payments under the Credit Agreement are indexed to a variable interest rate. Based on borrowings outstanding under the Credit Agreement of approximately $297.6 million and approximately $56.9 million in outstanding letters of credit, as of March 31, 2026, for every one percent increase in the average interest rate applicable to the Credit Agreement, our total annual interest expense would have increased by approximately $3.5 million.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Foreign Currency Exchange Rate Risk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also exposed to market risks related to fluctuations in foreign currency exchange rates between the U.S. dollar, and the Australian dollar, the South African Rand and the British Pound currency exchange rates. Based upon our foreign currency exchange rate exposure as of March 31, 2026, every 10 percent change in historical currency rates would have approximately a $9.4 million effect on our financial position and approximately a $0.6 million impact on our results of operations during the three months ended March 31, 2026.</w:t>
      </w:r>
    </w:p>
    <w:p>
      <w:pPr>
        <w:pStyle w:val="TextBody"/>
        <w:bidi w:val="0"/>
        <w:spacing w:before="27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is responsible to report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There were no significant changes to our internal control over financial reporting during the quarter ended March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18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 On April 6, 2026, GEO filed a motion seeking certification of the appeal of its Yearsley defense, a motion to stay any further proceedings pending resolution of GEO’s Petition for Writ of Certiorari to the Supreme Court in Nwauzor v. GEO (discussed below), and a separate motion for summary judgment under qualified immunity. Briefing on those motions is scheduled to be completed on May 25,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January 16, 2025, the Ninth Circuit issued an Opinion by a 2-1 vote affirming the lower court’s decision. That Opinion includes a 24-page dissenting opinion.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Briefing on GEO’s Petition was completed on April 24, 2026.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Ninth Circuit joining a harshly worded dissent from that decision. On February 16, 2026, GEO filed a Rule 41 motion with the Ninth Circuit seeking a stay of the mandate pending GEO’s Petition for Writ of Certiorari to the Supreme Court of the United States. On May 4, 2026, the District Court denied GEO’s request to stay the proceedings pending the Supreme Court petition, and the parties are briefing new motions for preliminary injunction.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 xml:space="preserve">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favorable adjustment for penalties and interest related to the post-audit period of approximately $6.3 million in the third quarter of 2024. The managed audit is ongoing at this time.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Item 1A of Part I of our Annual Report on Form 10-K for the year ended December 31, 2025 includes a detailed discussion of the risk factors that could materially affect our business, financial condition or future prospects. We encourage you to read these risk factors in their entirety.</w:t>
      </w:r>
    </w:p>
    <w:p>
      <w:pPr>
        <w:pStyle w:val="TextBody"/>
        <w:bidi w:val="0"/>
        <w:spacing w:before="12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tbl>
      <w:tblPr>
        <w:tblW w:w="8456" w:type="dxa"/>
        <w:jc w:val="left"/>
        <w:tblInd w:w="0" w:type="dxa"/>
        <w:tblLayout w:type="fixed"/>
        <w:tblCellMar>
          <w:top w:w="28" w:type="dxa"/>
          <w:left w:w="28" w:type="dxa"/>
          <w:bottom w:w="28" w:type="dxa"/>
          <w:right w:w="28" w:type="dxa"/>
        </w:tblCellMar>
      </w:tblPr>
      <w:tblGrid>
        <w:gridCol w:w="3241"/>
        <w:gridCol w:w="146"/>
        <w:gridCol w:w="146"/>
        <w:gridCol w:w="931"/>
        <w:gridCol w:w="146"/>
        <w:gridCol w:w="146"/>
        <w:gridCol w:w="211"/>
        <w:gridCol w:w="571"/>
        <w:gridCol w:w="146"/>
        <w:gridCol w:w="146"/>
        <w:gridCol w:w="146"/>
        <w:gridCol w:w="931"/>
        <w:gridCol w:w="146"/>
        <w:gridCol w:w="146"/>
        <w:gridCol w:w="287"/>
        <w:gridCol w:w="779"/>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w:t>
              <w:br/>
              <w:t>Value of</w:t>
              <w:br/>
              <w:t>Shares that</w:t>
              <w:br/>
              <w:t>May Yet Be</w:t>
              <w:br/>
              <w:t>Purchased</w:t>
              <w:br/>
              <w:t>Under the</w:t>
              <w:br/>
              <w:t>Plans or</w:t>
              <w:br/>
              <w:t>Programs</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to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to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to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90" w:after="283"/>
        <w:jc w:val="left"/>
        <w:rPr>
          <w:rFonts w:ascii="Times New Roman" w:hAnsi="Times New Roman"/>
          <w:color w:val="000000"/>
          <w:sz w:val="20"/>
        </w:rPr>
      </w:pPr>
      <w:r>
        <w:rPr>
          <w:rFonts w:ascii="Times New Roman" w:hAnsi="Times New Roman"/>
          <w:color w:val="000000"/>
          <w:sz w:val="20"/>
        </w:rPr>
        <w:t>(1) The Company withheld 422,392 shares through net share settlements to satisfy minimum statutory tax withholding requirements upon vesting of shares of restricted stock held by employees. These purchases were not made as part of a publicly announced plan or program.</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(2) On August 4, 2025, our Board of Directors authorized a stock buyback program authorizing us to repurchase up to $300 million of our shares of common stock effective through June 30, 2028. As of March 31, 2026, we have repurchased 8,498,700 of our common shares at an aggregate cost of $141.1 million, or an average price of $16.55. On November 4, 2025, our Board of Directors increased the authorization under our share buyback program to $500 million shares of common stock and extended the expiration date to December 31, 2029.</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7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7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March 31, 2026, no director or officer of the Company adopted or terminated a “Rule 10b5-1 trading arrangement” or a “non-Rule 10b5-1 trading arrangement” (in each case, as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669"/>
        <w:gridCol w:w="176"/>
        <w:gridCol w:w="9360"/>
      </w:tblGrid>
      <w:tr>
        <w:trPr/>
        <w:tc>
          <w:tcPr>
            <w:tcW w:w="6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Amendment to Credit Agreement, dated as of January 20, 2026, among The GEO Group, Inc. and GEO Corrections Holdings, Inc., as borrowers, Citizens Bank, N.A. as Administrative Agent, the other loan parties thereto and the other lender parties thereto (incorporated by reference to Exhibit 10.1 to the Company's Current Report on Form 8-K, filed on January 26, 2026).</w:t>
              </w:r>
            </w:hyperlink>
            <w:hyperlink r:id="rId3">
              <w:r>
                <w:rPr>
                  <w:rStyle w:val="InternetLink"/>
                  <w:rFonts w:ascii="Times New Roman" w:hAnsi="Times New Roman"/>
                  <w:color w:val="0000FF"/>
                  <w:sz w:val="20"/>
                </w:rPr>
                <w:t xml:space="preserve"> </w:t>
              </w:r>
            </w:hyperlink>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Separation Agreement and General Release, entered into on February 9, 2026, between The GEO Group, Inc. and J. David Donahue (incorporated by reference to Exhibit 10.1 to the Company's Current Report on Form 8-K filed on February 12, 2026). </w:t>
              </w:r>
            </w:hyperlink>
            <w:r>
              <w:rPr>
                <w:rFonts w:ascii="Times New Roman" w:hAnsi="Times New Roman"/>
                <w:color w:val="000000"/>
                <w:sz w:val="20"/>
              </w:rPr>
              <w:t xml:space="preserve">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Consultant Agreement and General Release, entered into on February 9, 2026, between The GEO Group, Inc. and J. David Donahue (incorporated by reference to Exhibit 10.2 to the Company's Current Report on Form 8-K filed on February 12, 2026).</w:t>
              </w:r>
            </w:hyperlink>
            <w:hyperlink r:id="rId6">
              <w:r>
                <w:rPr>
                  <w:rStyle w:val="InternetLink"/>
                  <w:rFonts w:ascii="Times New Roman" w:hAnsi="Times New Roman"/>
                  <w:color w:val="0000FF"/>
                  <w:sz w:val="20"/>
                </w:rPr>
                <w:t xml:space="preserve"> </w:t>
              </w:r>
            </w:hyperlink>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Amendment to Executive Employment Agreement, entered into on February 9, 2026, between The GEO Group, Inc. and George C. Zoley (incorporated by reference to Exhibit 10.3 to the Company's Current Report on Form 8-K filed on February 12, 2026). </w:t>
              </w:r>
            </w:hyperlink>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Executive Employment Agreement, entered into on March 5, 2026, between The GEO Group, Inc. and Shayn March (incorporated by reference to Exhibit 10.1 to the Company’s Current Report on Form 8-K filed on March 5, 2026).</w:t>
              </w:r>
            </w:hyperlink>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w:anchor="geo-ex31_1.htm">
              <w:r>
                <w:rPr>
                  <w:rStyle w:val="InternetLink"/>
                  <w:rFonts w:ascii="Times New Roman" w:hAnsi="Times New Roman"/>
                  <w:color w:val="0000FF"/>
                  <w:sz w:val="20"/>
                  <w:u w:val="single"/>
                </w:rPr>
                <w:t>SECTION 302 CEO Certification.</w:t>
              </w:r>
            </w:hyperlink>
            <w:hyperlink w:anchor="geo-ex31_1.htm">
              <w:r>
                <w:rPr>
                  <w:rStyle w:val="InternetLink"/>
                  <w:rFonts w:ascii="Times New Roman" w:hAnsi="Times New Roman"/>
                  <w:color w:val="0000FF"/>
                  <w:sz w:val="20"/>
                </w:rPr>
                <w:t xml:space="preserve"> </w:t>
              </w:r>
            </w:hyperlink>
            <w:r>
              <w:rPr>
                <w:rFonts w:ascii="Times New Roman" w:hAnsi="Times New Roman"/>
                <w:color w:val="000000"/>
                <w:sz w:val="20"/>
              </w:rPr>
              <w:t>*</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w:anchor="geo-ex31_2.htm">
              <w:r>
                <w:rPr>
                  <w:rStyle w:val="InternetLink"/>
                  <w:rFonts w:ascii="Times New Roman" w:hAnsi="Times New Roman"/>
                  <w:color w:val="0000FF"/>
                  <w:sz w:val="20"/>
                  <w:u w:val="single"/>
                </w:rPr>
                <w:t>SECTION 302 CFO Certification.</w:t>
              </w:r>
            </w:hyperlink>
            <w:r>
              <w:rPr>
                <w:rFonts w:ascii="Times New Roman" w:hAnsi="Times New Roman"/>
                <w:color w:val="000000"/>
                <w:sz w:val="20"/>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w:anchor="geo-ex32_1.htm">
              <w:r>
                <w:rPr>
                  <w:rStyle w:val="InternetLink"/>
                  <w:rFonts w:ascii="Times New Roman" w:hAnsi="Times New Roman"/>
                  <w:color w:val="0000FF"/>
                  <w:sz w:val="20"/>
                  <w:u w:val="single"/>
                </w:rPr>
                <w:t>SECTION 906 CEO Certification.</w:t>
              </w:r>
            </w:hyperlink>
            <w:r>
              <w:rPr>
                <w:rFonts w:ascii="Times New Roman" w:hAnsi="Times New Roman"/>
                <w:color w:val="000000"/>
                <w:sz w:val="20"/>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hyperlink w:anchor="geo-ex32_2.htm">
              <w:r>
                <w:rPr>
                  <w:rStyle w:val="InternetLink"/>
                  <w:rFonts w:ascii="Times New Roman" w:hAnsi="Times New Roman"/>
                  <w:color w:val="0000FF"/>
                  <w:sz w:val="20"/>
                  <w:u w:val="single"/>
                </w:rPr>
                <w:t>SECTION 906 CFO Certification.</w:t>
              </w:r>
            </w:hyperlink>
            <w:r>
              <w:rPr>
                <w:rFonts w:ascii="Times New Roman" w:hAnsi="Times New Roman"/>
                <w:color w:val="000000"/>
                <w:sz w:val="20"/>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953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period ended March 31, 2026, has been formatted in Inline XBRL (included with the Exhibit 101 attachments).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being furnished and shall not be deemed “filed” with the SEC for purposes of Section 18 of the Exchange </w:t>
      </w:r>
    </w:p>
    <w:p>
      <w:pPr>
        <w:pStyle w:val="TextBody"/>
        <w:bidi w:val="0"/>
        <w:jc w:val="left"/>
        <w:rPr>
          <w:rFonts w:ascii="Times New Roman" w:hAnsi="Times New Roman"/>
          <w:color w:val="000000"/>
          <w:sz w:val="20"/>
        </w:rPr>
      </w:pPr>
      <w:r>
        <w:rPr>
          <w:rFonts w:ascii="Times New Roman" w:hAnsi="Times New Roman"/>
          <w:color w:val="000000"/>
          <w:sz w:val="20"/>
        </w:rPr>
        <w:t xml:space="preserve">Act, or otherwise subject to the liability of that section, and shall not be deemed to be incorporated by reference into any filing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Securities Act or the Exchange Act, except to the extent that the Registrant specifically incorporates it by </w:t>
      </w:r>
    </w:p>
    <w:p>
      <w:pPr>
        <w:pStyle w:val="TextBody"/>
        <w:bidi w:val="0"/>
        <w:jc w:val="left"/>
        <w:rPr>
          <w:rFonts w:ascii="Times New Roman" w:hAnsi="Times New Roman"/>
          <w:color w:val="000000"/>
          <w:sz w:val="20"/>
        </w:rPr>
      </w:pPr>
      <w:r>
        <w:rPr>
          <w:rFonts w:ascii="Times New Roman" w:hAnsi="Times New Roman"/>
          <w:color w:val="000000"/>
          <w:sz w:val="20"/>
        </w:rPr>
        <w:t xml:space="preserve">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agreement as defined in Item 402 (a)(3) of Regulation S-K.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34" w:type="dxa"/>
        <w:jc w:val="left"/>
        <w:tblInd w:w="0" w:type="dxa"/>
        <w:tblLayout w:type="fixed"/>
        <w:tblCellMar>
          <w:top w:w="28" w:type="dxa"/>
          <w:left w:w="28" w:type="dxa"/>
          <w:bottom w:w="28" w:type="dxa"/>
          <w:right w:w="28" w:type="dxa"/>
        </w:tblCellMar>
      </w:tblPr>
      <w:tblGrid>
        <w:gridCol w:w="556"/>
        <w:gridCol w:w="1141"/>
        <w:gridCol w:w="146"/>
        <w:gridCol w:w="459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GEO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geo-ex31_1.htm"/>
      <w:bookmarkStart w:id="23" w:name="ksgeo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C. Zoley,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25" w:type="dxa"/>
        <w:jc w:val="left"/>
        <w:tblInd w:w="0" w:type="dxa"/>
        <w:tblLayout w:type="fixed"/>
        <w:tblCellMar>
          <w:top w:w="28" w:type="dxa"/>
          <w:left w:w="28" w:type="dxa"/>
          <w:bottom w:w="28" w:type="dxa"/>
          <w:right w:w="28" w:type="dxa"/>
        </w:tblCellMar>
      </w:tblPr>
      <w:tblGrid>
        <w:gridCol w:w="1636"/>
        <w:gridCol w:w="109"/>
        <w:gridCol w:w="109"/>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C. Zoley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C. Zoley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geo-ex31_2.htm"/>
      <w:bookmarkStart w:id="25" w:name="ksgeo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Shayn P. March,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65" w:type="dxa"/>
        <w:jc w:val="left"/>
        <w:tblInd w:w="0" w:type="dxa"/>
        <w:tblLayout w:type="fixed"/>
        <w:tblCellMar>
          <w:top w:w="28" w:type="dxa"/>
          <w:left w:w="28" w:type="dxa"/>
          <w:bottom w:w="28" w:type="dxa"/>
          <w:right w:w="28" w:type="dxa"/>
        </w:tblCellMar>
      </w:tblPr>
      <w:tblGrid>
        <w:gridCol w:w="1636"/>
        <w:gridCol w:w="109"/>
        <w:gridCol w:w="109"/>
        <w:gridCol w:w="20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geo-ex32_1.htm"/>
      <w:bookmarkStart w:id="27" w:name="ksgeo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The GEO Group, Inc. (the “Company”) for the period ended March 31, 2026 as filed with the Securities and Exchange Commission on the date hereof (the “Report”), I, George C. Zoley, Chief Executive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C. Zoley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C. Zoley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geo-ex32_2.htm"/>
      <w:bookmarkStart w:id="29" w:name="ksgeo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The GEO Group, Inc. (the “Company”) for the period ended March 31, 2026 as filed with the Securities and Exchange Commission on the date hereof (the “Report”), I, Shayn P. March, Chief Financial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3796/000119312526022602/d85667dex101.htm" TargetMode="External"/><Relationship Id="rId3" Type="http://schemas.openxmlformats.org/officeDocument/2006/relationships/hyperlink" Target="https://www.sec.gov/Archives/edgar/data/923796/000119312526022602/d85667dex101.htm" TargetMode="External"/><Relationship Id="rId4" Type="http://schemas.openxmlformats.org/officeDocument/2006/relationships/hyperlink" Target="https://www.sec.gov/Archives/edgar/data/923796/000119312526048953/d91287dex101.htm" TargetMode="External"/><Relationship Id="rId5" Type="http://schemas.openxmlformats.org/officeDocument/2006/relationships/hyperlink" Target="https://www.sec.gov/Archives/edgar/data/923796/000119312526048953/d91287dex102.htm" TargetMode="External"/><Relationship Id="rId6" Type="http://schemas.openxmlformats.org/officeDocument/2006/relationships/hyperlink" Target="https://www.sec.gov/Archives/edgar/data/923796/000119312526048953/d91287dex102.htm" TargetMode="External"/><Relationship Id="rId7" Type="http://schemas.openxmlformats.org/officeDocument/2006/relationships/hyperlink" Target="https://www.sec.gov/Archives/edgar/data/923796/000119312526048953/d91287dex103.htm" TargetMode="External"/><Relationship Id="rId8" Type="http://schemas.openxmlformats.org/officeDocument/2006/relationships/hyperlink" Target="https://www.sec.gov/Archives/edgar/data/923796/000119312526094068/d84742d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29313</Words>
  <Characters>160979</Characters>
  <CharactersWithSpaces>191934</CharactersWithSpaces>
  <Paragraphs>6783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