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675d8k.htm"/>
      <w:bookmarkStart w:id="1" w:name="ksd1186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THE GEO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1-14260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65-0043078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490"/>
        <w:gridCol w:w="60"/>
        <w:gridCol w:w="1145"/>
      </w:tblGrid>
      <w:tr>
        <w:trPr/>
        <w:tc>
          <w:tcPr>
            <w:tcW w:w="4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4955 Technology Way, Boca Raton,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33431</w:t>
            </w:r>
          </w:p>
        </w:tc>
      </w:tr>
      <w:tr>
        <w:trPr/>
        <w:tc>
          <w:tcPr>
            <w:tcW w:w="449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(561) 893-0101</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70" w:type="dxa"/>
        <w:jc w:val="left"/>
        <w:tblInd w:w="0" w:type="dxa"/>
        <w:tblLayout w:type="fixed"/>
        <w:tblCellMar>
          <w:top w:w="0" w:type="dxa"/>
          <w:left w:w="0" w:type="dxa"/>
          <w:bottom w:w="0" w:type="dxa"/>
          <w:right w:w="0" w:type="dxa"/>
        </w:tblCellMar>
      </w:tblPr>
      <w:tblGrid>
        <w:gridCol w:w="3185"/>
        <w:gridCol w:w="60"/>
        <w:gridCol w:w="605"/>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GEO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905" w:type="dxa"/>
        <w:jc w:val="left"/>
        <w:tblInd w:w="0" w:type="dxa"/>
        <w:tblLayout w:type="fixed"/>
        <w:tblCellMar>
          <w:top w:w="0" w:type="dxa"/>
          <w:left w:w="0" w:type="dxa"/>
          <w:bottom w:w="0" w:type="dxa"/>
          <w:right w:w="0" w:type="dxa"/>
        </w:tblCellMar>
      </w:tblPr>
      <w:tblGrid>
        <w:gridCol w:w="935"/>
        <w:gridCol w:w="1970"/>
      </w:tblGrid>
      <w:tr>
        <w:trPr/>
        <w:tc>
          <w:tcPr>
            <w:tcW w:w="935" w:type="dxa"/>
            <w:tcBorders/>
            <w:vAlign w:val="center"/>
          </w:tcPr>
          <w:p>
            <w:pPr>
              <w:pStyle w:val="TableContents"/>
              <w:bidi w:val="0"/>
              <w:spacing w:before="0" w:after="283"/>
              <w:jc w:val="left"/>
              <w:rPr>
                <w:b/>
              </w:rPr>
            </w:pPr>
            <w:r>
              <w:rPr>
                <w:b/>
              </w:rPr>
              <w:t>Section 2</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The GEO Group, Inc. (“GEO” or the “Company”) issued a press release announcing its financial results for the second quarter ended June 30, 2026, updating its financial guidance for the full year ending December 31, 2026 and issuing its financial guidance for the third quarter ending September 30, 2026 and the fourth quarter ending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935"/>
        <w:gridCol w:w="2960"/>
      </w:tblGrid>
      <w:tr>
        <w:trPr/>
        <w:tc>
          <w:tcPr>
            <w:tcW w:w="935" w:type="dxa"/>
            <w:tcBorders/>
            <w:vAlign w:val="center"/>
          </w:tcPr>
          <w:p>
            <w:pPr>
              <w:pStyle w:val="TableContents"/>
              <w:bidi w:val="0"/>
              <w:spacing w:before="0" w:after="283"/>
              <w:jc w:val="left"/>
              <w:rPr>
                <w:b/>
              </w:rPr>
            </w:pPr>
            <w:r>
              <w:rPr>
                <w:b/>
              </w:rPr>
              <w:t>Section 9</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8675dex991.htm">
              <w:r>
                <w:rPr>
                  <w:rStyle w:val="InternetLink"/>
                </w:rPr>
                <w:t xml:space="preserve">Press Release, dated August 6, 2026, announcing GEO’s financial results for the second quarter ended June 30,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94" w:type="dxa"/>
        <w:jc w:val="left"/>
        <w:tblInd w:w="0" w:type="dxa"/>
        <w:tblLayout w:type="fixed"/>
        <w:tblCellMar>
          <w:top w:w="0" w:type="dxa"/>
          <w:left w:w="0" w:type="dxa"/>
          <w:bottom w:w="0" w:type="dxa"/>
          <w:right w:w="0" w:type="dxa"/>
        </w:tblCellMar>
      </w:tblPr>
      <w:tblGrid>
        <w:gridCol w:w="2103"/>
        <w:gridCol w:w="260"/>
        <w:gridCol w:w="101"/>
        <w:gridCol w:w="60"/>
        <w:gridCol w:w="365"/>
        <w:gridCol w:w="60"/>
        <w:gridCol w:w="4745"/>
      </w:tblGrid>
      <w:tr>
        <w:trPr/>
        <w:tc>
          <w:tcPr>
            <w:tcW w:w="21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u w:val="single"/>
              </w:rPr>
            </w:pPr>
            <w:r>
              <w:rPr>
                <w:u w:val="single"/>
              </w:rPr>
              <w:t>August 6, 2026    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Shayn P. March</w:t>
            </w:r>
          </w:p>
        </w:tc>
      </w:tr>
      <w:tr>
        <w:trPr/>
        <w:tc>
          <w:tcPr>
            <w:tcW w:w="2103" w:type="dxa"/>
            <w:tcBorders/>
            <w:vAlign w:val="center"/>
          </w:tcPr>
          <w:p>
            <w:pPr>
              <w:pStyle w:val="TableContents"/>
              <w:bidi w:val="0"/>
              <w:spacing w:before="0" w:after="283"/>
              <w:jc w:val="left"/>
              <w:rPr/>
            </w:pPr>
            <w:r>
              <w:rPr/>
              <w:t>Date</w:t>
            </w:r>
          </w:p>
        </w:tc>
        <w:tc>
          <w:tcPr>
            <w:tcW w:w="2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Shayn P. March</w:t>
            </w:r>
          </w:p>
        </w:tc>
      </w:tr>
      <w:tr>
        <w:trPr/>
        <w:tc>
          <w:tcPr>
            <w:tcW w:w="21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jc w:val="right"/>
        <w:rPr>
          <w:rFonts w:ascii="Times New Roman" w:hAnsi="Times New Roman"/>
          <w:b/>
          <w:sz w:val="20"/>
        </w:rPr>
      </w:pPr>
      <w:bookmarkStart w:id="2" w:name="d118675dex991.htm"/>
      <w:bookmarkStart w:id="3" w:name="ksd11867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drawing>
                <wp:inline distT="0" distB="0" distL="0" distR="0">
                  <wp:extent cx="17621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67627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right"/>
              <w:rPr>
                <w:b/>
              </w:rPr>
            </w:pPr>
            <w:r>
              <w:rPr>
                <w:b/>
              </w:rPr>
              <w:t>NEWS RELEASE</w:t>
            </w:r>
          </w:p>
        </w:tc>
      </w:tr>
    </w:tbl>
    <w:p>
      <w:pPr>
        <w:pStyle w:val="TextBody"/>
        <w:bidi w:val="0"/>
        <w:spacing w:before="0" w:after="0"/>
        <w:jc w:val="left"/>
        <w:rPr>
          <w:rFonts w:ascii="Times New Roman" w:hAnsi="Times New Roman"/>
          <w:sz w:val="20"/>
        </w:rPr>
      </w:pPr>
      <w:r>
        <w:rPr>
          <w:rFonts w:ascii="Times New Roman" w:hAnsi="Times New Roman"/>
          <w:sz w:val="20"/>
        </w:rPr>
        <w:t xml:space="preserve">4955 Technology Way ∎ Boca Raton, Florida 33431 ∎ www.geogroup.com </w:t>
      </w:r>
    </w:p>
    <w:p>
      <w:pPr>
        <w:pStyle w:val="TextBody"/>
        <w:bidi w:val="0"/>
        <w:spacing w:before="0" w:after="0"/>
        <w:jc w:val="left"/>
        <w:rPr>
          <w:rFonts w:ascii="Times New Roman" w:hAnsi="Times New Roman"/>
          <w:b/>
          <w:sz w:val="20"/>
        </w:rPr>
      </w:pPr>
      <w:r>
        <w:rPr>
          <w:rFonts w:ascii="Times New Roman" w:hAnsi="Times New Roman"/>
          <w:b/>
          <w:sz w:val="20"/>
        </w:rPr>
        <w:t xml:space="preserve">CR-26-11 </w:t>
      </w:r>
    </w:p>
    <w:p>
      <w:pPr>
        <w:pStyle w:val="TextBody"/>
        <w:bidi w:val="0"/>
        <w:spacing w:before="480" w:after="0"/>
        <w:jc w:val="center"/>
        <w:rPr>
          <w:rFonts w:ascii="Times New Roman" w:hAnsi="Times New Roman"/>
          <w:b/>
          <w:sz w:val="20"/>
        </w:rPr>
      </w:pPr>
      <w:r>
        <w:rPr>
          <w:rFonts w:ascii="Times New Roman" w:hAnsi="Times New Roman"/>
          <w:b/>
          <w:sz w:val="20"/>
        </w:rPr>
        <w:t xml:space="preserve">THE GEO GROUP REPORTS SECOND QUARTER RESULTS </w:t>
      </w:r>
    </w:p>
    <w:p>
      <w:pPr>
        <w:pStyle w:val="TextBody"/>
        <w:bidi w:val="0"/>
        <w:spacing w:before="0" w:after="0"/>
        <w:jc w:val="center"/>
        <w:rPr>
          <w:rFonts w:ascii="Times New Roman" w:hAnsi="Times New Roman"/>
          <w:b/>
          <w:sz w:val="20"/>
        </w:rPr>
      </w:pPr>
      <w:r>
        <w:rPr>
          <w:rFonts w:ascii="Times New Roman" w:hAnsi="Times New Roman"/>
          <w:b/>
          <w:sz w:val="20"/>
        </w:rPr>
        <w:t xml:space="preserve">AND UPDATES FULL YEAR 2026 GUIDANCE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2Q26 Revenues Increased 15% to $732.1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2Q26 Net Income Attributable to GEO Operations Increased 63% to $47.5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2Q26 Adjusted EBITDA Increased 20% to $142.0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Repurchased approximately 1.6 million shares for $36.6 million in 2Q26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Guidance for FY26 Revenues of $2.95-$3.05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Guidance for FY26 Net Income Attributable to GEO Operations Increased to $168-$175 Million, or $1.27-$1.32 Per Diluted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Guidance for FY26 Adjusted EBITDA Increased to $550-$560 Million </w:t>
            </w:r>
          </w:p>
        </w:tc>
      </w:tr>
    </w:tbl>
    <w:p>
      <w:pPr>
        <w:pStyle w:val="TextBody"/>
        <w:bidi w:val="0"/>
        <w:spacing w:before="240" w:after="0"/>
        <w:jc w:val="left"/>
        <w:rPr>
          <w:rFonts w:ascii="Times New Roman" w:hAnsi="Times New Roman"/>
          <w:sz w:val="20"/>
        </w:rPr>
      </w:pPr>
      <w:r>
        <w:rPr>
          <w:rFonts w:ascii="Times New Roman" w:hAnsi="Times New Roman"/>
          <w:b/>
          <w:sz w:val="20"/>
        </w:rPr>
        <w:t>Boca Raton, Fla. – August</w:t>
      </w:r>
      <w:r>
        <w:rPr>
          <w:rFonts w:ascii="Times New Roman" w:hAnsi="Times New Roman"/>
          <w:sz w:val="20"/>
        </w:rPr>
        <w:t> </w:t>
      </w:r>
      <w:r>
        <w:rPr>
          <w:rFonts w:ascii="Times New Roman" w:hAnsi="Times New Roman"/>
          <w:b/>
          <w:sz w:val="20"/>
        </w:rPr>
        <w:t>6, 2026 —</w:t>
      </w:r>
      <w:r>
        <w:rPr>
          <w:rFonts w:ascii="Times New Roman" w:hAnsi="Times New Roman"/>
          <w:sz w:val="20"/>
        </w:rPr>
        <w:t xml:space="preserve"> </w:t>
      </w:r>
      <w:r>
        <w:rPr>
          <w:rFonts w:ascii="Times New Roman" w:hAnsi="Times New Roman"/>
          <w:b/>
          <w:sz w:val="20"/>
        </w:rPr>
        <w:t>The GEO Group, Inc. (NYSE: GEO)</w:t>
      </w:r>
      <w:r>
        <w:rPr>
          <w:rFonts w:ascii="Times New Roman" w:hAnsi="Times New Roman"/>
          <w:sz w:val="20"/>
        </w:rPr>
        <w:t xml:space="preserve"> (“GEO”, “we” or the “Company”), a leading provider of contracted support services for secure facilities, processing centers, and reentry centers, as well as enhanced in-custody rehabilitation, post-release support, and electronic monitoring programs, reported its financial results for the second quarter 2026, updated full year 2026 financial guidance, and provided financial guidance for the third and fourth quarters 2026.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2026, we reported total revenues of $732.1 million compared to $636.2 million for the second quarter 2025, reflecting a 15 percent increase. </w:t>
      </w:r>
    </w:p>
    <w:p>
      <w:pPr>
        <w:pStyle w:val="TextBody"/>
        <w:bidi w:val="0"/>
        <w:spacing w:before="240" w:after="0"/>
        <w:jc w:val="left"/>
        <w:rPr>
          <w:rFonts w:ascii="Times New Roman" w:hAnsi="Times New Roman"/>
          <w:sz w:val="20"/>
        </w:rPr>
      </w:pPr>
      <w:r>
        <w:rPr>
          <w:rFonts w:ascii="Times New Roman" w:hAnsi="Times New Roman"/>
          <w:sz w:val="20"/>
        </w:rPr>
        <w:t xml:space="preserve">We reported second quarter 2026 net income attributable to GEO Operations of $47.5 million, or $0.36 per diluted share, compared to net income attributable to GEO Operations of $29.1 million, or $0.21 per diluted share, for the second quarter 2025, reflecting a 63 percent increase in net income attributable to GEO Operations.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2026 results reflect $1.7 million, pre-tax, in combined loss on asset divestitures/impairment, start-up expenses, transaction fees, and employee restructuring expenses. Excluding these items, we reported adjusted net income for the second quarter 2026 of $48.8 million, or $0.37 per diluted share, compared to $30.7 million, or $0.22 per diluted share, for the second quarter 2025. </w:t>
      </w:r>
    </w:p>
    <w:p>
      <w:pPr>
        <w:pStyle w:val="TextBody"/>
        <w:bidi w:val="0"/>
        <w:spacing w:before="240" w:after="0"/>
        <w:jc w:val="left"/>
        <w:rPr>
          <w:rFonts w:ascii="Times New Roman" w:hAnsi="Times New Roman"/>
          <w:sz w:val="20"/>
        </w:rPr>
      </w:pPr>
      <w:r>
        <w:rPr>
          <w:rFonts w:ascii="Times New Roman" w:hAnsi="Times New Roman"/>
          <w:sz w:val="20"/>
        </w:rPr>
        <w:t xml:space="preserve">We reported second quarter 2026 Adjusted EBITDA of $142.0 million, compared to $118.6 million for the second quarter 2025, reflecting a 20 percent increase. </w:t>
      </w:r>
    </w:p>
    <w:p>
      <w:pPr>
        <w:pStyle w:val="TextBody"/>
        <w:bidi w:val="0"/>
        <w:spacing w:before="240" w:after="0"/>
        <w:jc w:val="left"/>
        <w:rPr>
          <w:rFonts w:ascii="Times New Roman" w:hAnsi="Times New Roman"/>
          <w:sz w:val="20"/>
        </w:rPr>
      </w:pPr>
      <w:r>
        <w:rPr>
          <w:rFonts w:ascii="Times New Roman" w:hAnsi="Times New Roman"/>
          <w:sz w:val="20"/>
        </w:rPr>
        <w:t xml:space="preserve">Our second quarter 2026 results reflect revenue growth from the contracts that we entered into throughout 2025. Operating Expenses continued to be favorably impacted by lower labor costs during the second quarter of 2026. </w:t>
      </w:r>
    </w:p>
    <w:p>
      <w:pPr>
        <w:pStyle w:val="TextBody"/>
        <w:bidi w:val="0"/>
        <w:spacing w:before="240" w:after="0"/>
        <w:jc w:val="center"/>
        <w:rPr>
          <w:rFonts w:ascii="Times New Roman" w:hAnsi="Times New Roman"/>
          <w:b/>
          <w:sz w:val="20"/>
        </w:rPr>
      </w:pP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George C. Zoley, GEO’s Chairman, Chief Executive Officer and Founder, said, “We are very pleased with our strong second quarter results and improved full year outlook. Our financial performance in the first half of 2026 has been driven by the new growth opportunities we captured in 2025 and are normalizing this year. Last year was the most successful period for new business wins in our company’s history, and we expect 2026 to continue to be very active as well. We remain focused on pursuing new growth opportunities and allocating capital to enhance long-term value for our shareholders, and we believe that our stock continues to offer a very attractive investment opportunity.” </w:t>
      </w:r>
    </w:p>
    <w:p>
      <w:pPr>
        <w:pStyle w:val="TextBody"/>
        <w:bidi w:val="0"/>
        <w:spacing w:before="360" w:after="0"/>
        <w:jc w:val="left"/>
        <w:rPr>
          <w:rFonts w:ascii="Times New Roman" w:hAnsi="Times New Roman"/>
          <w:b/>
          <w:sz w:val="20"/>
        </w:rPr>
      </w:pPr>
      <w:r>
        <w:rPr>
          <w:rFonts w:ascii="Times New Roman" w:hAnsi="Times New Roman"/>
          <w:b/>
          <w:sz w:val="20"/>
        </w:rPr>
        <w:t xml:space="preserve">Results for the First Six Months of 2026 </w:t>
      </w:r>
    </w:p>
    <w:p>
      <w:pPr>
        <w:pStyle w:val="TextBody"/>
        <w:bidi w:val="0"/>
        <w:spacing w:before="120" w:after="0"/>
        <w:jc w:val="left"/>
        <w:rPr>
          <w:rFonts w:ascii="Times New Roman" w:hAnsi="Times New Roman"/>
          <w:sz w:val="20"/>
        </w:rPr>
      </w:pPr>
      <w:r>
        <w:rPr>
          <w:rFonts w:ascii="Times New Roman" w:hAnsi="Times New Roman"/>
          <w:sz w:val="20"/>
        </w:rPr>
        <w:t xml:space="preserve">For the first six months of 2026, we reported total revenues of $1.44 billion compared to $1.24 billion for the first six months of 2025, reflecting a 16 percent increase. </w:t>
      </w:r>
    </w:p>
    <w:p>
      <w:pPr>
        <w:pStyle w:val="TextBody"/>
        <w:bidi w:val="0"/>
        <w:spacing w:before="240" w:after="0"/>
        <w:jc w:val="left"/>
        <w:rPr>
          <w:rFonts w:ascii="Times New Roman" w:hAnsi="Times New Roman"/>
          <w:sz w:val="20"/>
        </w:rPr>
      </w:pPr>
      <w:r>
        <w:rPr>
          <w:rFonts w:ascii="Times New Roman" w:hAnsi="Times New Roman"/>
          <w:sz w:val="20"/>
        </w:rPr>
        <w:t xml:space="preserve">We reported net income attributable to GEO Operations for the first six months of 2026 of $85.8 million, or $0.65 per diluted share, compared to net income attributable to GEO Operations of $48.7 million, or $0.35 per diluted share, for the first six months of 2025, reflecting a 76 percent increase in net income attributable to GEO Operations. </w:t>
      </w:r>
    </w:p>
    <w:p>
      <w:pPr>
        <w:pStyle w:val="TextBody"/>
        <w:bidi w:val="0"/>
        <w:spacing w:before="240" w:after="0"/>
        <w:jc w:val="left"/>
        <w:rPr>
          <w:rFonts w:ascii="Times New Roman" w:hAnsi="Times New Roman"/>
          <w:sz w:val="20"/>
        </w:rPr>
      </w:pPr>
      <w:r>
        <w:rPr>
          <w:rFonts w:ascii="Times New Roman" w:hAnsi="Times New Roman"/>
          <w:sz w:val="20"/>
        </w:rPr>
        <w:t xml:space="preserve">Results for the first six months of 2026 reflect $2.1 million, pre-tax, in combined loss on asset divestitures/impairment, start-up expenses, transaction fees, employee restructuring expenses, and close-out expenses. Excluding these items, we reported adjusted net income for the first six months of 2026 of $87.4 million, or $0.66 per diluted share, compared to $50.3 million, or $0.36 per diluted share,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We reported Adjusted EBITDA for the first six months of 2026 of $273.4 million, compared to $218.4 million for the first six months of 2025, reflecting a 25 percent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Operational Highlights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 five-year support services contract, effective July 9, 2026, with U.S. Immigration and Customs Enforcement (“ICE”) for the activation of a federal immigration processing center at the 1,188-bed Big Horn Facility in Hudson, Colorado, while also entering into a lease agreement with the Facility owner. The Big Horn Facility support services contract is expected to generate approximately $85 million in annual revenues in the first full year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 five-year support services contract, effective August 1, 2026, with ICE for the activation of a federal immigration processing center at our GEO-owned, 1,320-bed Rivers Facility in Winton, North Carolina. The Rivers Facility support services contract is expected to generate approximately $80 million in annual revenues in the first full year of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both contracts, ICE will reimburse GEO for the capital expenditures needed to reactivate these two facilities, as well as provide funding for start-up expenses during the activation period. We expect the activation of the Big Horn Facility and Rivers Facility to be completed by the end of 2026, with both facilities expected to achieve normalized operations and earnings contribution in early 2027.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Today, we updated our financial guidance for the full year 2026 and issued our financial guidance for the third quarter 2026 and the fourth quarter 2026. We increased our full year 2026 Net Income Attributable to GEO Operations guidance to a range of $168 million to $175 million, or $1.27 to $1.32 per diluted share on annual revenues of $2.95 billion to $3.05 billion and based on an effective tax rate of approximately 30 percent, inclusive of known discrete items. We increased our full year 2026 Adjusted EBITDA guidance to a range of $550 million to $560 million. We expect total unreimbursed Capital Expenditures for the full year 2026 to be between $135 million and $145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third quarter 2026, we expect Net Income Attributable to GEO Operations to be in a range of $45 million to $48 million, or $0.35 to $0.37 per diluted share, on quarterly revenues of $755 million to $805 million. We expect third quarter 2026 Adjusted EBITDA to be between $140 million and $145 million. For the fourth quarter 2026, we expect Net Income Attributable to GEO Operations to be in a range of $37 million to $41 million, or $0.28 to $0.31 per diluted share, on quarterly revenues of $758 million to $808 million. We expect fourth quarter 2026 Adjusted EBITDA to be between $137 million and $142 million. </w:t>
      </w:r>
    </w:p>
    <w:p>
      <w:pPr>
        <w:pStyle w:val="TextBody"/>
        <w:bidi w:val="0"/>
        <w:spacing w:before="240" w:after="0"/>
        <w:jc w:val="left"/>
        <w:rPr>
          <w:rFonts w:ascii="Times New Roman" w:hAnsi="Times New Roman"/>
          <w:sz w:val="20"/>
        </w:rPr>
      </w:pPr>
      <w:r>
        <w:rPr>
          <w:rFonts w:ascii="Times New Roman" w:hAnsi="Times New Roman"/>
          <w:sz w:val="20"/>
        </w:rPr>
        <w:t xml:space="preserve">Our updated guidance does not include any earnings contribution from our new Big Horn and Rivers ICE contracts since we expect the activation period for these facilities to be completed by the end of 2026, achieving normalized earnings contribution in early 2027. Our updated guidance also does not include any earnings contribution from our previously announced managed-only contracts for the 1,884-bed Graceville Facility and the 985-bed Bay Facility in the State of Florida. These two managed-only contracts, which are valued at approximately $100 million in combined annual revenues, are now expected to transition to GEO on July 1, 2027. </w:t>
      </w:r>
    </w:p>
    <w:p>
      <w:pPr>
        <w:pStyle w:val="TextBody"/>
        <w:bidi w:val="0"/>
        <w:spacing w:before="240" w:after="0"/>
        <w:jc w:val="left"/>
        <w:rPr>
          <w:rFonts w:ascii="Times New Roman" w:hAnsi="Times New Roman"/>
          <w:sz w:val="20"/>
        </w:rPr>
      </w:pPr>
      <w:r>
        <w:rPr>
          <w:rFonts w:ascii="Times New Roman" w:hAnsi="Times New Roman"/>
          <w:sz w:val="20"/>
        </w:rPr>
        <w:t xml:space="preserve">We believe there are several sources of potential upside that are not currently included in our guidance. With respect to revenues, sources of potential upside include additional growth in our U.S. Secure Services segment from the reactivation of additional idle facilities and/or higher overall populations across our active facilities; additional volume increases and/or accelerated technology and service mix shift in our Intensive Supervision Appearance Program (“ISAP”) contract; additional growth in our secure transportation services business; and additional revenue from higher utilization of our skip tracing services contract. With respect to expenses, our guidance assumes a more moderate contribution from labor cost savings for the second half of 2026. </w:t>
      </w:r>
    </w:p>
    <w:p>
      <w:pPr>
        <w:pStyle w:val="TextBody"/>
        <w:bidi w:val="0"/>
        <w:spacing w:before="240" w:after="0"/>
        <w:jc w:val="center"/>
        <w:rPr>
          <w:rFonts w:ascii="Times New Roman" w:hAnsi="Times New Roman"/>
          <w:b/>
          <w:sz w:val="20"/>
        </w:rPr>
      </w:pP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At the end of the second quarter 2026, we had approximately $55 million in cash and cash equivalents and approximately $1.54 billion in total debt, resulting in total net debt of approximately $1.5 billion and total net leverage below 3 times Adjusted EBITDA for the trailing 12 months. At the end of the second quarter 2026, we had total available liquidity of approximately $300 million, including cash on hand and Revolver availability, to support our capital needs.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During the second quarter of 2026, we repurchased approximately 1.6 million shares of GEO common stock at an aggregate cost of approximately $36.6 million. As of June 30, 2026, we had repurchased approximately 10.1 million shares of GEO common stock at an aggregate cost of approximately $177 million under our $500 million share repurchase authorization, bringing our current outstanding share count to approximately 132 million and leaving approximately $323 million of repurchase authorization available under the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GEO’s outstanding common stock will be made in accordance with applicable securities laws and may be made at our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our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scheduled a conference call and webcast for today at 1:00 PM (Eastern Time) to discuss our second quarter 2026 financial results as well as our outlook. The call-in number for the U.S. is 1-877-250-1553 and the international call-in number is 1-412-542-4145. In addition, a live audio webcast of the conference call may be accessed on the Webcasts section under the News, Events and Reports tab of GEO’s investor relations webpage at </w:t>
      </w:r>
      <w:r>
        <w:rPr>
          <w:rFonts w:ascii="Times New Roman" w:hAnsi="Times New Roman"/>
          <w:sz w:val="20"/>
          <w:u w:val="single"/>
        </w:rPr>
        <w:t>investors.geogroup.com</w:t>
      </w:r>
      <w:r>
        <w:rPr>
          <w:rFonts w:ascii="Times New Roman" w:hAnsi="Times New Roman"/>
          <w:sz w:val="20"/>
        </w:rPr>
        <w:t xml:space="preserve">. A replay of the webcast will be available on the website for one year. A telephonic replay of the conference call will be available through August 13, 2026, at 1-855-669-9658 (U.S.) and 1-412-317-0088 (International). The participant passcode for the telephonic replay is 1433186. </w:t>
      </w:r>
    </w:p>
    <w:p>
      <w:pPr>
        <w:pStyle w:val="TextBody"/>
        <w:bidi w:val="0"/>
        <w:spacing w:before="240" w:after="0"/>
        <w:jc w:val="center"/>
        <w:rPr>
          <w:rFonts w:ascii="Times New Roman" w:hAnsi="Times New Roman"/>
          <w:b/>
          <w:sz w:val="20"/>
        </w:rPr>
      </w:pP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The GEO Group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 secure transportation, electronic monitoring, community-based programs, and correctional health and mental health care. GEO’s worldwide operations include the ownership and/or delivery of support services for 97 facilities totaling approximately 76,000 beds, including idle facilities and projects under development, with a workforce of up to approximately 20,000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Reconciliation Tables and Supplemental Information </w:t>
      </w:r>
    </w:p>
    <w:p>
      <w:pPr>
        <w:pStyle w:val="TextBody"/>
        <w:bidi w:val="0"/>
        <w:spacing w:before="120" w:after="0"/>
        <w:jc w:val="left"/>
        <w:rPr>
          <w:rFonts w:ascii="Times New Roman" w:hAnsi="Times New Roman"/>
          <w:sz w:val="20"/>
        </w:rPr>
      </w:pPr>
      <w:r>
        <w:rPr>
          <w:rFonts w:ascii="Times New Roman" w:hAnsi="Times New Roman"/>
          <w:sz w:val="20"/>
        </w:rPr>
        <w:t xml:space="preserve">GEO has made available Supplemental Information which contains reconciliation tables of Net Income Attributable to GEO Operations to Adjusted Net Income, and Net Income to EBITDA and Adjusted EBITDA, along with supplemental financial and operational information on GEO’s business and other important operating metrics. The reconciliation tables are also presented herein. Please see the section below titled “Note to Reconciliation Tables and Supplemental Disclosure—Important Information on GEO’s Non-GAAP Financial Measures” for information on how GEO defines these supplemental Non-GAAP financial measures and reconciles them to the most directly comparable GAAP measures. GEO’s Reconciliation Tables can be found herein and in GEO’s Supplemental Information available on GEO’s investor webpage at </w:t>
      </w:r>
      <w:r>
        <w:rPr>
          <w:rFonts w:ascii="Times New Roman" w:hAnsi="Times New Roman"/>
          <w:sz w:val="20"/>
          <w:u w:val="single"/>
        </w:rPr>
        <w:t>investors.geogroup.com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Note to Reconciliation Tables and Supplemental Disclosure – </w:t>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on GEO’s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EBITDA, and Adjusted EBITDA are non-GAAP financial measures that are presented as supplemental disclosures. GEO has presented herein certain forward-looking statements about GEO’s future financial performance that include non-GAAP financial measures, including Net Debt, Net Leverage, and Adjusted EBITDA. The determination of the amounts that are included or excluded from these non-GAAP financial measures is a matter of management judgment and depends upon, among other factors, the nature of the underlying expense or income amounts recognized in a given period. While we have provided a high level reconciliation for the guidance ranges for full year 2026, we are unable to present a more detailed quantitative reconciliation of the forward-looking non-GAAP financial measures to their most directly comparable forward-looking GAAP financial measures because management cannot reliably predict all of the necessary components of such GAAP measures. The quantitative reconciliation of the forward-looking non-GAAP financial measures will be provided for completed annual and quarterly periods, as applicable, calculated in a consistent manner with the quantitative reconciliation of non-GAAP financial measures previously reported for completed annual and quarterly periods. </w:t>
      </w:r>
    </w:p>
    <w:p>
      <w:pPr>
        <w:pStyle w:val="TextBody"/>
        <w:bidi w:val="0"/>
        <w:spacing w:before="240" w:after="0"/>
        <w:jc w:val="center"/>
        <w:rPr>
          <w:rFonts w:ascii="Times New Roman" w:hAnsi="Times New Roman"/>
          <w:b/>
          <w:sz w:val="20"/>
        </w:rPr>
      </w:pP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Net Debt is defined as gross principal debt less cash on hand. Net Leverage is defined as Net Debt divided by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is defined as net income adjusted by adding provisions for income tax, interest expense, net of interest income, and depreciation and amortization. Adjusted EBITDA is defined as EBITDA adjusted for loss on asset divestitures/impairment, pre-tax, net loss attributable to non-controlling interests, stock-based compensation expenses, pre-tax, litigation costs and settlements, pre-tax, start-up expenses, pre-tax, transaction fees, pre-tax, employee restructuring expenses, pre-tax, close-out expenses, pre-tax, other non-cash revenue and expenses, pre-tax, and certain other adjustments as defined from time to time. Given the nature of our business as a real estate owner and support services provider,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 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 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is defined as net income attributable to GEO operations adjusted for certain items which by their nature are not comparable from period to period or that tend to obscure GEO’s actual operating performance, including for the periods presented loss on asset divestitures/impairment, pre-tax, loss on extinguishment of debt, pre-tax, litigation costs and settlements, pre-tax, start-up expenses, pre-tax, transaction fees, pre-tax, employee restructuring expenses, pre-tax, close-out expenses, pre-tax, and tax effect of adjustments to net income attributable to GEO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--More--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Safe-Harbor Statement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regarding future events and future performance of GEO that involve risks and uncertainties that could materially and adversely affect actual results, including statements regarding GEO’s financial guidance for the full year, third quarter, and fourth quarter of 2026, the $500 million share repurchase program authorized by GEO’s Board of Directors, the anticipated timing and annualized revenues related to the activation of certain facilities and new and amended contracts, GEO’s ability to capture additional growth opportunities, and the Company’s efforts to strengthen its capital structure and enhance shareholder value through capital returns. Forward-looking statements generally can be identified by the use of forward-looking terminology such as “may,” “will,” “expect,” “anticipate,” “intend,” “plan,” “believe,” “seek,” “estimate,” or “continue” or the negative of such words and similar expressions. Risks and uncertainties that could cause actual results to vary from current expectations and forward-looking statements contained in this press release include, but are not limited to: (1) GEO’s ability to meet its financial guidance for the full year, third quarter, and fourth quarter of 2026 given the various risks to which its business is exposed; (2) GEO’s ability to execute on the $500 million share repurchase program authorized by GEO’s Board of Directors on the timeline it expects; (3) GEO’s ability to deleverage and repay, refinance or otherwise address its debt maturities in an amount and on terms commercially acceptable to GEO, and on the timeline it expects or at all; (4) GEO’s ability to identify and successfully complete any potential sales of company-owned assets and businesses or potential acquisitions of assets or businesses on commercially advantageous terms on a timely basis, or at all; (5) changes in federal and state government policy, orders, directives, legislation and regulations that affect public-private partnerships with respect to secure, correctional and detention facilities, processing centers and reentry centers; (6) changes in federal immigration policy; (7) public and political opposition to the use of public-private partnerships with respect to secure correctional and detention facilities, processing centers and reentry centers; (8) the impact of any future global pandemic on GEO and GEO’s ability to mitigate the risks associated with such pandemic; (9) GEO’s ability to sustain or improve company-wide occupancy rates at its facilities; (10) fluctuations in GEO’s operating results, including as a result of contract activations, contract terminations, contract renegotiations, changes in occupancy levels and increases in GEO’s operating costs; (11) general economic and market conditions, including changes to governmental budgets and its impact on new contract terms, contract renewals, renegotiations, per diem rates, fixed payment provisions, and occupancy levels; (12) GEO’s ability to address inflationary pressures related to labor related expenses and other operating costs; (13) GEO’s ability to timely open facilities as planned, profitably manage such facilities and successfully integrate such facilities into GEO’s operations without substantial costs; (14) GEO’s ability to win management contracts for which it has submitted proposals and to retain existing management contracts; (15) risks associated with GEO’s ability to control operating costs associated with contract start-ups; (16) GEO’s ability to successfully pursue growth opportunities and continue to create shareholder value; (17) GEO’s ability to obtain financing or access the capital markets in the future on acceptable terms or at all; (18) any adverse impact on GEO’s financial results caused by any past or future federal government shutdown; (19) risks associated with the U.S. Supreme Court agreeing to hear GEO’s appeal in the Nwauzor Case and GEO’s ability to prevail on the merits; and (20) other factors contained in GEO’s Securities and Exchange Commission periodic filings, including its Form 10-K, 10-Q and 8-K reports, many of which are difficult to predict and outside of GEO’s control.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and first six months 2026 financial tables to follow: </w:t>
      </w:r>
    </w:p>
    <w:p>
      <w:pPr>
        <w:pStyle w:val="TextBody"/>
        <w:bidi w:val="0"/>
        <w:spacing w:before="120" w:after="0"/>
        <w:jc w:val="left"/>
        <w:rPr>
          <w:rFonts w:ascii="Times New Roman" w:hAnsi="Times New Roman"/>
          <w:b/>
          <w:sz w:val="20"/>
        </w:rPr>
      </w:pPr>
      <w:r>
        <w:rPr>
          <w:rFonts w:ascii="Times New Roman" w:hAnsi="Times New Roman"/>
          <w:b/>
          <w:sz w:val="20"/>
          <w:u w:val="single"/>
        </w:rPr>
        <w:t>Condensed Consolidated Balance Sheets</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7"/>
        <w:gridCol w:w="371"/>
        <w:gridCol w:w="159"/>
        <w:gridCol w:w="1273"/>
        <w:gridCol w:w="60"/>
        <w:gridCol w:w="371"/>
        <w:gridCol w:w="215"/>
        <w:gridCol w:w="1696"/>
        <w:gridCol w:w="63"/>
      </w:tblGrid>
      <w:tr>
        <w:trPr/>
        <w:tc>
          <w:tcPr>
            <w:tcW w:w="5997"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97"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3" w:type="dxa"/>
            <w:tcBorders/>
            <w:vAlign w:val="bottom"/>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June 30, 2026</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11"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December 31, 2025</w:t>
            </w:r>
          </w:p>
        </w:tc>
        <w:tc>
          <w:tcPr>
            <w:tcW w:w="63" w:type="dxa"/>
            <w:tcBorders/>
            <w:vAlign w:val="bottom"/>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32" w:type="dxa"/>
            <w:gridSpan w:val="2"/>
            <w:tcBorders/>
            <w:vAlign w:val="bottom"/>
          </w:tcPr>
          <w:p>
            <w:pPr>
              <w:pStyle w:val="TableContents"/>
              <w:bidi w:val="0"/>
              <w:spacing w:before="0" w:after="283"/>
              <w:jc w:val="center"/>
              <w:rPr>
                <w:i/>
              </w:rPr>
            </w:pPr>
            <w:r>
              <w:rPr>
                <w:i/>
              </w:rPr>
              <w:t>(unaudited)</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11" w:type="dxa"/>
            <w:gridSpan w:val="2"/>
            <w:tcBorders/>
            <w:vAlign w:val="bottom"/>
          </w:tcPr>
          <w:p>
            <w:pPr>
              <w:pStyle w:val="TableContents"/>
              <w:bidi w:val="0"/>
              <w:spacing w:before="0" w:after="283"/>
              <w:jc w:val="center"/>
              <w:rPr>
                <w:i/>
              </w:rPr>
            </w:pPr>
            <w:r>
              <w:rPr>
                <w:i/>
              </w:rPr>
              <w:t>(unaudited)</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283"/>
              <w:jc w:val="center"/>
              <w:rPr>
                <w:b/>
              </w:rPr>
            </w:pPr>
            <w:r>
              <w:rPr>
                <w:b/>
              </w:rPr>
              <w:t>ASSETS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sz w:val="4"/>
                <w:szCs w:val="4"/>
              </w:rPr>
            </w:pPr>
            <w:r>
              <w:rPr>
                <w:sz w:val="4"/>
                <w:szCs w:val="4"/>
              </w:rPr>
            </w:r>
          </w:p>
        </w:tc>
        <w:tc>
          <w:tcPr>
            <w:tcW w:w="127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tcPr>
          <w:p>
            <w:pPr>
              <w:pStyle w:val="TableContents"/>
              <w:bidi w:val="0"/>
              <w:spacing w:before="0" w:after="283"/>
              <w:jc w:val="left"/>
              <w:rPr>
                <w:sz w:val="4"/>
                <w:szCs w:val="4"/>
              </w:rPr>
            </w:pPr>
            <w:r>
              <w:rPr>
                <w:sz w:val="4"/>
                <w:szCs w:val="4"/>
              </w:rPr>
            </w:r>
          </w:p>
        </w:tc>
        <w:tc>
          <w:tcPr>
            <w:tcW w:w="1696" w:type="dxa"/>
            <w:tcBorders/>
            <w:shd w:fill="CCEEFF" w:val="clear"/>
          </w:tcPr>
          <w:p>
            <w:pPr>
              <w:pStyle w:val="TableContents"/>
              <w:bidi w:val="0"/>
              <w:spacing w:before="0" w:after="283"/>
              <w:jc w:val="left"/>
              <w:rPr>
                <w:sz w:val="4"/>
                <w:szCs w:val="4"/>
              </w:rPr>
            </w:pPr>
            <w:r>
              <w:rPr>
                <w:sz w:val="4"/>
                <w:szCs w:val="4"/>
              </w:rPr>
            </w:r>
          </w:p>
        </w:tc>
        <w:tc>
          <w:tcPr>
            <w:tcW w:w="63" w:type="dxa"/>
            <w:tcBorders/>
            <w:shd w:fill="CCEEFF" w:val="clear"/>
          </w:tcPr>
          <w:p>
            <w:pPr>
              <w:pStyle w:val="TableContents"/>
              <w:bidi w:val="0"/>
              <w:spacing w:before="0" w:after="283"/>
              <w:jc w:val="left"/>
              <w:rPr>
                <w:sz w:val="4"/>
                <w:szCs w:val="4"/>
              </w:rPr>
            </w:pPr>
            <w:r>
              <w:rPr>
                <w:sz w:val="4"/>
                <w:szCs w:val="4"/>
              </w:rPr>
            </w:r>
          </w:p>
        </w:tc>
      </w:tr>
      <w:tr>
        <w:trPr/>
        <w:tc>
          <w:tcPr>
            <w:tcW w:w="599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54,992</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696" w:type="dxa"/>
            <w:tcBorders/>
            <w:vAlign w:val="bottom"/>
          </w:tcPr>
          <w:p>
            <w:pPr>
              <w:pStyle w:val="TableContents"/>
              <w:bidi w:val="0"/>
              <w:spacing w:before="0" w:after="283"/>
              <w:jc w:val="right"/>
              <w:rPr/>
            </w:pPr>
            <w:r>
              <w:rPr/>
              <w:t>68,995</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and cash equivalents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2,137</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2,998</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less allowance for doubtful accounts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531,852</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593,463</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46,004</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53,073</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73" w:type="dxa"/>
            <w:tcBorders/>
            <w:vAlign w:val="bottom"/>
          </w:tcPr>
          <w:p>
            <w:pPr>
              <w:pStyle w:val="TableContents"/>
              <w:bidi w:val="0"/>
              <w:spacing w:before="0" w:after="283"/>
              <w:jc w:val="right"/>
              <w:rPr>
                <w:b/>
              </w:rPr>
            </w:pPr>
            <w:r>
              <w:rPr>
                <w:b/>
              </w:rPr>
              <w:t>634,985</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696" w:type="dxa"/>
            <w:tcBorders/>
            <w:vAlign w:val="bottom"/>
          </w:tcPr>
          <w:p>
            <w:pPr>
              <w:pStyle w:val="TableContents"/>
              <w:bidi w:val="0"/>
              <w:spacing w:before="0" w:after="283"/>
              <w:jc w:val="right"/>
              <w:rPr>
                <w:b/>
              </w:rPr>
            </w:pPr>
            <w:r>
              <w:rPr>
                <w:b/>
              </w:rPr>
              <w:t>718,529</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Restricted Cash and Investments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193,103</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179,366</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Property and Equipment, Net</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1,856,785</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1,884,198</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Lease Right-of-Use Assets, Net</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62,787</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72,294</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Deferred Income Tax Assets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9,396</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9,396</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Intangible Assets, Net (including goodwill)</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869,721</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873,360</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Other Non-Current Assets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115,485</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106,479</w:t>
            </w:r>
          </w:p>
        </w:tc>
        <w:tc>
          <w:tcPr>
            <w:tcW w:w="63" w:type="dxa"/>
            <w:tcBorders/>
            <w:vAlign w:val="bottom"/>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283"/>
              <w:jc w:val="center"/>
              <w:rPr>
                <w:b/>
              </w:rPr>
            </w:pPr>
            <w:r>
              <w:rPr>
                <w:b/>
              </w:rPr>
              <w:t>Total Assets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pPr>
            <w:r>
              <w:rPr/>
              <w:t> </w:t>
            </w:r>
          </w:p>
        </w:tc>
        <w:tc>
          <w:tcPr>
            <w:tcW w:w="1273" w:type="dxa"/>
            <w:tcBorders/>
            <w:shd w:fill="CCEEFF" w:val="clear"/>
          </w:tcPr>
          <w:p>
            <w:pPr>
              <w:pStyle w:val="TableContents"/>
              <w:bidi w:val="0"/>
              <w:spacing w:before="0" w:after="283"/>
              <w:jc w:val="center"/>
              <w:rPr>
                <w:b/>
              </w:rPr>
            </w:pPr>
            <w:r>
              <w:rPr>
                <w:b/>
              </w:rPr>
              <w:t>$3,742,262</w:t>
            </w:r>
          </w:p>
        </w:tc>
        <w:tc>
          <w:tcPr>
            <w:tcW w:w="60" w:type="dxa"/>
            <w:tcBorders/>
            <w:shd w:fill="CCEEFF" w:val="clear"/>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bidi w:val="0"/>
              <w:spacing w:before="0" w:after="283"/>
              <w:jc w:val="center"/>
              <w:rPr>
                <w:b/>
              </w:rPr>
            </w:pPr>
            <w:r>
              <w:rPr>
                <w:b/>
              </w:rPr>
              <w:t>$3,843,622</w:t>
            </w:r>
          </w:p>
        </w:tc>
        <w:tc>
          <w:tcPr>
            <w:tcW w:w="63" w:type="dxa"/>
            <w:tcBorders/>
            <w:shd w:fill="CCEEFF" w:val="clear"/>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6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97" w:type="dxa"/>
            <w:tcBorders/>
          </w:tcPr>
          <w:p>
            <w:pPr>
              <w:pStyle w:val="TableContents"/>
              <w:bidi w:val="0"/>
              <w:spacing w:before="0" w:after="283"/>
              <w:jc w:val="center"/>
              <w:rPr>
                <w:b/>
              </w:rPr>
            </w:pPr>
            <w:r>
              <w:rPr>
                <w:b/>
              </w:rPr>
              <w:t>LIABILITIES AND SHAREHOLDERS’ EQUITY</w:t>
            </w:r>
          </w:p>
        </w:tc>
        <w:tc>
          <w:tcPr>
            <w:tcW w:w="371"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sz w:val="4"/>
                <w:szCs w:val="4"/>
              </w:rPr>
            </w:pPr>
            <w:r>
              <w:rPr>
                <w:sz w:val="4"/>
                <w:szCs w:val="4"/>
              </w:rPr>
            </w:r>
          </w:p>
        </w:tc>
        <w:tc>
          <w:tcPr>
            <w:tcW w:w="127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sz w:val="4"/>
                <w:szCs w:val="4"/>
              </w:rPr>
            </w:pPr>
            <w:r>
              <w:rPr>
                <w:sz w:val="4"/>
                <w:szCs w:val="4"/>
              </w:rPr>
            </w:r>
          </w:p>
        </w:tc>
        <w:tc>
          <w:tcPr>
            <w:tcW w:w="1696"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5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56,195</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696" w:type="dxa"/>
            <w:tcBorders/>
            <w:shd w:fill="CCEEFF" w:val="clear"/>
            <w:vAlign w:val="bottom"/>
          </w:tcPr>
          <w:p>
            <w:pPr>
              <w:pStyle w:val="TableContents"/>
              <w:bidi w:val="0"/>
              <w:spacing w:before="0" w:after="283"/>
              <w:jc w:val="right"/>
              <w:rPr/>
            </w:pPr>
            <w:r>
              <w:rPr/>
              <w:t>58,727</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related taxes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83,591</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82,086</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198,497</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197,530</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14,954</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17,193</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obligations, and long-term debt</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30,788</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1,355</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73" w:type="dxa"/>
            <w:tcBorders/>
            <w:vAlign w:val="bottom"/>
          </w:tcPr>
          <w:p>
            <w:pPr>
              <w:pStyle w:val="TableContents"/>
              <w:bidi w:val="0"/>
              <w:spacing w:before="0" w:after="283"/>
              <w:jc w:val="right"/>
              <w:rPr>
                <w:b/>
              </w:rPr>
            </w:pPr>
            <w:r>
              <w:rPr>
                <w:b/>
              </w:rPr>
              <w:t>384,025</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696" w:type="dxa"/>
            <w:tcBorders/>
            <w:vAlign w:val="bottom"/>
          </w:tcPr>
          <w:p>
            <w:pPr>
              <w:pStyle w:val="TableContents"/>
              <w:bidi w:val="0"/>
              <w:spacing w:before="0" w:after="283"/>
              <w:jc w:val="right"/>
              <w:rPr>
                <w:b/>
              </w:rPr>
            </w:pPr>
            <w:r>
              <w:rPr>
                <w:b/>
              </w:rPr>
              <w:t>356,891</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Deferred Income Tax Liabilities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99,689</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99,689</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Other Non-Current Liabilities</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182,454</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176,083</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Lease Liabilities</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49,884</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57,557</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Long-Term Debt</w:t>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1,511,530</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1,649,268</w:t>
            </w:r>
          </w:p>
        </w:tc>
        <w:tc>
          <w:tcPr>
            <w:tcW w:w="63" w:type="dxa"/>
            <w:tcBorders/>
            <w:vAlign w:val="bottom"/>
          </w:tcPr>
          <w:p>
            <w:pPr>
              <w:pStyle w:val="TableContents"/>
              <w:bidi w:val="0"/>
              <w:spacing w:before="0" w:after="283"/>
              <w:jc w:val="left"/>
              <w:rPr/>
            </w:pPr>
            <w:r>
              <w:rPr/>
              <w:t> </w:t>
            </w:r>
          </w:p>
        </w:tc>
      </w:tr>
      <w:tr>
        <w:trPr/>
        <w:tc>
          <w:tcPr>
            <w:tcW w:w="599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Total Shareholders’ Equity</w:t>
            </w:r>
          </w:p>
        </w:tc>
        <w:tc>
          <w:tcPr>
            <w:tcW w:w="3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1,514,680</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1,504,134</w:t>
            </w:r>
          </w:p>
        </w:tc>
        <w:tc>
          <w:tcPr>
            <w:tcW w:w="63" w:type="dxa"/>
            <w:tcBorders/>
            <w:shd w:fill="CCEEFF" w:val="clear"/>
            <w:vAlign w:val="bottom"/>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97" w:type="dxa"/>
            <w:tcBorders/>
          </w:tcPr>
          <w:p>
            <w:pPr>
              <w:pStyle w:val="TableContents"/>
              <w:bidi w:val="0"/>
              <w:spacing w:before="0" w:after="283"/>
              <w:jc w:val="center"/>
              <w:rPr>
                <w:b/>
              </w:rPr>
            </w:pPr>
            <w:r>
              <w:rPr>
                <w:b/>
              </w:rPr>
              <w:t>Total Liabilities and Shareholders’ Equity</w:t>
            </w:r>
          </w:p>
        </w:tc>
        <w:tc>
          <w:tcPr>
            <w:tcW w:w="371"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 </w:t>
            </w:r>
          </w:p>
        </w:tc>
        <w:tc>
          <w:tcPr>
            <w:tcW w:w="1273" w:type="dxa"/>
            <w:tcBorders/>
          </w:tcPr>
          <w:p>
            <w:pPr>
              <w:pStyle w:val="TableContents"/>
              <w:bidi w:val="0"/>
              <w:spacing w:before="0" w:after="283"/>
              <w:jc w:val="center"/>
              <w:rPr>
                <w:b/>
              </w:rPr>
            </w:pPr>
            <w:r>
              <w:rPr>
                <w:b/>
              </w:rPr>
              <w:t>$3,742,262</w:t>
            </w:r>
          </w:p>
        </w:tc>
        <w:tc>
          <w:tcPr>
            <w:tcW w:w="60" w:type="dxa"/>
            <w:tcBorders/>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 </w:t>
            </w:r>
          </w:p>
        </w:tc>
        <w:tc>
          <w:tcPr>
            <w:tcW w:w="1696" w:type="dxa"/>
            <w:tcBorders/>
          </w:tcPr>
          <w:p>
            <w:pPr>
              <w:pStyle w:val="TableContents"/>
              <w:bidi w:val="0"/>
              <w:spacing w:before="0" w:after="283"/>
              <w:jc w:val="center"/>
              <w:rPr>
                <w:b/>
              </w:rPr>
            </w:pPr>
            <w:r>
              <w:rPr>
                <w:b/>
              </w:rPr>
              <w:t>$3,843,622</w:t>
            </w:r>
          </w:p>
        </w:tc>
        <w:tc>
          <w:tcPr>
            <w:tcW w:w="63" w:type="dxa"/>
            <w:tcBorders/>
          </w:tcPr>
          <w:p>
            <w:pPr>
              <w:pStyle w:val="TableContents"/>
              <w:bidi w:val="0"/>
              <w:spacing w:before="0" w:after="283"/>
              <w:jc w:val="left"/>
              <w:rPr/>
            </w:pPr>
            <w:r>
              <w:rPr/>
              <w:t> </w:t>
            </w:r>
          </w:p>
        </w:tc>
      </w:tr>
      <w:tr>
        <w:trPr/>
        <w:tc>
          <w:tcPr>
            <w:tcW w:w="5997"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6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figures in ‘000s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 More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u w:val="single"/>
        </w:rPr>
        <w:t>Condensed Consolidated Statements of Operations</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57"/>
        <w:gridCol w:w="142"/>
        <w:gridCol w:w="154"/>
        <w:gridCol w:w="916"/>
        <w:gridCol w:w="155"/>
        <w:gridCol w:w="99"/>
        <w:gridCol w:w="154"/>
        <w:gridCol w:w="916"/>
        <w:gridCol w:w="155"/>
        <w:gridCol w:w="99"/>
        <w:gridCol w:w="140"/>
        <w:gridCol w:w="982"/>
        <w:gridCol w:w="155"/>
        <w:gridCol w:w="99"/>
        <w:gridCol w:w="140"/>
        <w:gridCol w:w="983"/>
        <w:gridCol w:w="159"/>
      </w:tblGrid>
      <w:tr>
        <w:trPr/>
        <w:tc>
          <w:tcPr>
            <w:tcW w:w="475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Q2 2026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Q2 2025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YTD 2026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YTD 2025</w:t>
            </w:r>
          </w:p>
        </w:tc>
        <w:tc>
          <w:tcPr>
            <w:tcW w:w="159"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23" w:type="dxa"/>
            <w:gridSpan w:val="2"/>
            <w:tcBorders/>
            <w:vAlign w:val="bottom"/>
          </w:tcPr>
          <w:p>
            <w:pPr>
              <w:pStyle w:val="TableContents"/>
              <w:bidi w:val="0"/>
              <w:spacing w:before="0" w:after="283"/>
              <w:jc w:val="center"/>
              <w:rPr>
                <w:i/>
              </w:rPr>
            </w:pPr>
            <w:r>
              <w:rPr>
                <w:i/>
              </w:rPr>
              <w:t>(unaudited)</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732,072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636,169</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1,437,285</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1,241,513</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530,703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475,218</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1,052,212</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929,693</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Depreciation and amortization</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34,196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32,732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68,026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64,868</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sz w:val="20"/>
              </w:rPr>
            </w:pPr>
            <w:r>
              <w:rPr>
                <w:rFonts w:ascii="Times New Roman" w:hAnsi="Times New Roman"/>
                <w:b/>
                <w:sz w:val="20"/>
              </w:rPr>
              <w:t>General and administrative expenses</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65,470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56,246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126,045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113,995</w:t>
            </w:r>
          </w:p>
        </w:tc>
        <w:tc>
          <w:tcPr>
            <w:tcW w:w="159"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income</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101,703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71,973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191,002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b/>
              </w:rPr>
            </w:pPr>
            <w:r>
              <w:rPr>
                <w:b/>
              </w:rPr>
              <w:t>132,957</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income</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3,228</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2,466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4,900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4,463</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 expense</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(38,556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(41,907</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(76,857</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(84,348</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sz w:val="20"/>
              </w:rPr>
            </w:pPr>
            <w:r>
              <w:rPr>
                <w:rFonts w:ascii="Times New Roman" w:hAnsi="Times New Roman"/>
                <w:b/>
                <w:sz w:val="20"/>
              </w:rPr>
              <w:t>Loss on extinguishment of debt</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(595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(595</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5,514</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5,514</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sz w:val="20"/>
              </w:rPr>
            </w:pPr>
            <w:r>
              <w:rPr>
                <w:rFonts w:ascii="Times New Roman" w:hAnsi="Times New Roman"/>
                <w:b/>
                <w:sz w:val="20"/>
              </w:rPr>
              <w:t>Loss on asset divestitures/impairment</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Income before income taxes and equity in earnings of affiliates</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65,702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37,451</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118,372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b/>
              </w:rPr>
            </w:pPr>
            <w:r>
              <w:rPr>
                <w:b/>
              </w:rPr>
              <w:t>57,991</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sz w:val="20"/>
              </w:rPr>
            </w:pPr>
            <w:r>
              <w:rPr>
                <w:rFonts w:ascii="Times New Roman" w:hAnsi="Times New Roman"/>
                <w:b/>
                <w:sz w:val="20"/>
              </w:rPr>
              <w:t>Provision for income taxes</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18,878</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10,554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33,904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12,380</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in earnings of affiliates, net of income tax provision</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636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2,177</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1,298</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3,005</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Net income</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47,460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29,074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85,766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b/>
              </w:rPr>
            </w:pPr>
            <w:r>
              <w:rPr>
                <w:b/>
              </w:rPr>
              <w:t>48,616</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Net loss attributable to noncontrolling interests</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50</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Net Income Attributable to The GEO Group, Inc. Operations</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47,503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29,108</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85,837</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48,666</w:t>
            </w:r>
          </w:p>
        </w:tc>
        <w:tc>
          <w:tcPr>
            <w:tcW w:w="159"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Weighted Average Common Shares Outstanding:</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57"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130,603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138,539</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131,602</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137,844</w:t>
            </w:r>
          </w:p>
        </w:tc>
        <w:tc>
          <w:tcPr>
            <w:tcW w:w="159"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132,024</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140,470</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133,025</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140,710</w:t>
            </w:r>
          </w:p>
        </w:tc>
        <w:tc>
          <w:tcPr>
            <w:tcW w:w="159"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Net Income per Common Share Attributable to The GEO Group, Inc. Operations</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5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 basic</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0.36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0.21</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0.65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0.35</w:t>
            </w:r>
          </w:p>
        </w:tc>
        <w:tc>
          <w:tcPr>
            <w:tcW w:w="159"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w:t>
            </w:r>
          </w:p>
        </w:tc>
        <w:tc>
          <w:tcPr>
            <w:tcW w:w="1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5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 diluted</w:t>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0.36</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0.21</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0.65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0.35</w:t>
            </w:r>
          </w:p>
        </w:tc>
        <w:tc>
          <w:tcPr>
            <w:tcW w:w="159"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figures in ‘000s, except per share data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 More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Reconciliation of Net Income to EBITDA and Adjusted EBITDA, </w:t>
      </w:r>
    </w:p>
    <w:p>
      <w:pPr>
        <w:pStyle w:val="TextBody"/>
        <w:bidi w:val="0"/>
        <w:spacing w:before="0" w:after="0"/>
        <w:jc w:val="left"/>
        <w:rPr>
          <w:rFonts w:ascii="Times New Roman" w:hAnsi="Times New Roman"/>
          <w:b/>
          <w:sz w:val="20"/>
        </w:rPr>
      </w:pPr>
      <w:r>
        <w:rPr>
          <w:rFonts w:ascii="Times New Roman" w:hAnsi="Times New Roman"/>
          <w:b/>
          <w:sz w:val="20"/>
          <w:u w:val="single"/>
        </w:rPr>
        <w:t>and Net Income Attributable to GEO Operations to Adjusted Net Income</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53"/>
        <w:gridCol w:w="145"/>
        <w:gridCol w:w="154"/>
        <w:gridCol w:w="891"/>
        <w:gridCol w:w="155"/>
        <w:gridCol w:w="100"/>
        <w:gridCol w:w="154"/>
        <w:gridCol w:w="891"/>
        <w:gridCol w:w="155"/>
        <w:gridCol w:w="100"/>
        <w:gridCol w:w="153"/>
        <w:gridCol w:w="891"/>
        <w:gridCol w:w="155"/>
        <w:gridCol w:w="100"/>
        <w:gridCol w:w="154"/>
        <w:gridCol w:w="891"/>
        <w:gridCol w:w="163"/>
      </w:tblGrid>
      <w:tr>
        <w:trPr/>
        <w:tc>
          <w:tcPr>
            <w:tcW w:w="49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Q2 2026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Q2 2025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YTD 2026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YTD 2025</w:t>
            </w:r>
          </w:p>
        </w:tc>
        <w:tc>
          <w:tcPr>
            <w:tcW w:w="163" w:type="dxa"/>
            <w:tcBorders/>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4"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i/>
              </w:rPr>
            </w:pPr>
            <w:r>
              <w:rPr>
                <w:i/>
              </w:rPr>
              <w:t>(unaudited)</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47,460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29,074</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85,766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48,616</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i/>
                <w:sz w:val="20"/>
              </w:rPr>
            </w:pPr>
            <w:r>
              <w:rPr>
                <w:rFonts w:ascii="Times New Roman" w:hAnsi="Times New Roman"/>
                <w:i/>
                <w:sz w:val="20"/>
              </w:rPr>
              <w:t>Add:</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19,107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10,723</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34,349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12,779</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 of interest income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35,328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40,036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71,957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80,480</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34,196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32,732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68,026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64,868</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136,091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112,565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260,098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206,743</w:t>
            </w:r>
          </w:p>
        </w:tc>
        <w:tc>
          <w:tcPr>
            <w:tcW w:w="163" w:type="dxa"/>
            <w:tcBorders/>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Add (Subtract):</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Loss on asset divestitures/impairment,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50</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4,923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5,506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12,689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11,994</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Litigation costs and settlements, pre 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532</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Start-up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509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509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fees,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322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55</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Employee restructuring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392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332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332</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Close-out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676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676</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Other non-cash revenue &amp;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(788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(1,048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(1,563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(2,019</w:t>
            </w:r>
          </w:p>
        </w:tc>
        <w:tc>
          <w:tcPr>
            <w:tcW w:w="163" w:type="dxa"/>
            <w:tcBorders/>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141,999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118,597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273,411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218,363</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The GEO Group, Inc. Operations</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47,503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29,108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85,837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48,666</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Add (Subtract):</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Loss on asset divestitures/impairment,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595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595</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Litigation costs and settlements, pre 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532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532</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Start-up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509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509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fees,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322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55</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restructuring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392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332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592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332</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sz w:val="20"/>
              </w:rPr>
            </w:pPr>
            <w:r>
              <w:rPr>
                <w:rFonts w:ascii="Times New Roman" w:hAnsi="Times New Roman"/>
                <w:sz w:val="20"/>
              </w:rPr>
              <w:t>Close-out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676</w:t>
            </w:r>
          </w:p>
        </w:tc>
        <w:tc>
          <w:tcPr>
            <w:tcW w:w="163" w:type="dxa"/>
            <w:tcBorders/>
            <w:vAlign w:val="bottom"/>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adjustment to net income attributable to GEO Operations (1)</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(435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(537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(551</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48,798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30,706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87,421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50,305</w:t>
            </w:r>
          </w:p>
        </w:tc>
        <w:tc>
          <w:tcPr>
            <w:tcW w:w="163" w:type="dxa"/>
            <w:tcBorders/>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132,024</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140,470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133,025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140,710</w:t>
            </w:r>
          </w:p>
        </w:tc>
        <w:tc>
          <w:tcPr>
            <w:tcW w:w="163" w:type="dxa"/>
            <w:tcBorders/>
            <w:shd w:fill="CCEEFF" w:val="clear"/>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5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 per Diluted Share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0.37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0.22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0.66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0.36</w:t>
            </w:r>
          </w:p>
        </w:tc>
        <w:tc>
          <w:tcPr>
            <w:tcW w:w="163" w:type="dxa"/>
            <w:tcBorders/>
            <w:vAlign w:val="bottom"/>
          </w:tcPr>
          <w:p>
            <w:pPr>
              <w:pStyle w:val="TableContents"/>
              <w:bidi w:val="0"/>
              <w:spacing w:before="0" w:after="283"/>
              <w:jc w:val="left"/>
              <w:rPr/>
            </w:pPr>
            <w:r>
              <w:rPr/>
              <w:t> </w:t>
            </w:r>
          </w:p>
        </w:tc>
      </w:tr>
      <w:tr>
        <w:trPr/>
        <w:tc>
          <w:tcPr>
            <w:tcW w:w="495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figures in ‘000s.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income tax provision on equity in earnings of affiliates.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adjustment related to loss on asset divestitures/impairment, loss on extinguishment of debt, litigation costs and settlements, start-up expenses, transaction fees, employee restructuring expenses, and close-out expenses.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 More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2026 Outlook/Reconciliation </w:t>
      </w:r>
    </w:p>
    <w:p>
      <w:pPr>
        <w:pStyle w:val="TextBody"/>
        <w:bidi w:val="0"/>
        <w:spacing w:before="120" w:after="0"/>
        <w:jc w:val="left"/>
        <w:rPr>
          <w:rFonts w:ascii="Times New Roman" w:hAnsi="Times New Roman"/>
          <w:sz w:val="20"/>
        </w:rPr>
      </w:pPr>
      <w:r>
        <w:rPr>
          <w:rFonts w:ascii="Times New Roman" w:hAnsi="Times New Roman"/>
          <w:sz w:val="20"/>
        </w:rPr>
        <w:t xml:space="preserve">(In thousands, except per share data)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93"/>
        <w:gridCol w:w="149"/>
        <w:gridCol w:w="140"/>
        <w:gridCol w:w="994"/>
        <w:gridCol w:w="155"/>
        <w:gridCol w:w="110"/>
        <w:gridCol w:w="60"/>
        <w:gridCol w:w="201"/>
        <w:gridCol w:w="60"/>
        <w:gridCol w:w="149"/>
        <w:gridCol w:w="140"/>
        <w:gridCol w:w="994"/>
        <w:gridCol w:w="160"/>
      </w:tblGrid>
      <w:tr>
        <w:trPr/>
        <w:tc>
          <w:tcPr>
            <w:tcW w:w="6893"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0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FY 2026</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GEO</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168,000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center"/>
              <w:rPr/>
            </w:pPr>
            <w:r>
              <w:rPr/>
              <w:t>to</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175,000</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b/>
                <w:sz w:val="20"/>
              </w:rPr>
            </w:pPr>
            <w:r>
              <w:rPr>
                <w:rFonts w:ascii="Times New Roman" w:hAnsi="Times New Roman"/>
                <w:b/>
                <w:sz w:val="20"/>
              </w:rPr>
              <w:t>(Gain)/Loss on Asset Sale, pre-tax</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Interest Expense</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145,000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145,500</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b/>
                <w:sz w:val="20"/>
              </w:rPr>
            </w:pPr>
            <w:r>
              <w:rPr>
                <w:rFonts w:ascii="Times New Roman" w:hAnsi="Times New Roman"/>
                <w:b/>
                <w:sz w:val="20"/>
              </w:rPr>
              <w:t>Tax effect of Adjustments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893"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(including income tax provision on equity in earnings of affiliates)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73,000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75,500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Depreciation and Amortization</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139,000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139,000</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Stock Based Compensation</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23,500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23,500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Non-Cash</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1,300</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4" w:type="dxa"/>
            <w:tcBorders/>
            <w:vAlign w:val="bottom"/>
          </w:tcPr>
          <w:p>
            <w:pPr>
              <w:pStyle w:val="TableContents"/>
              <w:bidi w:val="0"/>
              <w:spacing w:before="0" w:after="283"/>
              <w:jc w:val="right"/>
              <w:rPr>
                <w:b/>
              </w:rPr>
            </w:pPr>
            <w:r>
              <w:rPr>
                <w:b/>
              </w:rPr>
              <w:t>550,000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center"/>
              <w:rPr/>
            </w:pPr>
            <w:r>
              <w:rPr/>
              <w:t>to</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4" w:type="dxa"/>
            <w:tcBorders/>
            <w:vAlign w:val="bottom"/>
          </w:tcPr>
          <w:p>
            <w:pPr>
              <w:pStyle w:val="TableContents"/>
              <w:bidi w:val="0"/>
              <w:spacing w:before="0" w:after="283"/>
              <w:jc w:val="right"/>
              <w:rPr>
                <w:b/>
              </w:rPr>
            </w:pPr>
            <w:r>
              <w:rPr>
                <w:b/>
              </w:rPr>
              <w:t>560,000</w:t>
            </w:r>
          </w:p>
        </w:tc>
        <w:tc>
          <w:tcPr>
            <w:tcW w:w="160" w:type="dxa"/>
            <w:tcBorders/>
            <w:vAlign w:val="bottom"/>
          </w:tcPr>
          <w:p>
            <w:pPr>
              <w:pStyle w:val="TableContents"/>
              <w:bidi w:val="0"/>
              <w:spacing w:before="0" w:after="283"/>
              <w:jc w:val="left"/>
              <w:rPr/>
            </w:pPr>
            <w:r>
              <w:rPr/>
              <w:t> </w:t>
            </w:r>
          </w:p>
        </w:tc>
      </w:tr>
      <w:tr>
        <w:trPr/>
        <w:tc>
          <w:tcPr>
            <w:tcW w:w="6893"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GEO Per Diluted Share</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1.27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center"/>
              <w:rPr/>
            </w:pPr>
            <w:r>
              <w:rPr/>
              <w:t>to</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1.32</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Outstanding-Diluted</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132,600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center"/>
              <w:rPr/>
            </w:pPr>
            <w:r>
              <w:rPr/>
              <w:t>to</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132,600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CAPEX</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893" w:type="dxa"/>
            <w:tcBorders/>
          </w:tcPr>
          <w:p>
            <w:pPr>
              <w:pStyle w:val="TableContents"/>
              <w:bidi w:val="0"/>
              <w:spacing w:before="0" w:after="0"/>
              <w:jc w:val="left"/>
              <w:rPr>
                <w:rFonts w:ascii="Times New Roman" w:hAnsi="Times New Roman"/>
                <w:sz w:val="20"/>
              </w:rPr>
            </w:pPr>
            <w:r>
              <w:rPr>
                <w:rFonts w:ascii="Times New Roman" w:hAnsi="Times New Roman"/>
                <w:sz w:val="20"/>
              </w:rPr>
              <w:t>Growth</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17,500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center"/>
              <w:rPr/>
            </w:pPr>
            <w:r>
              <w:rPr/>
              <w:t>to</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20,000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27,500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30,000</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sz w:val="20"/>
              </w:rPr>
            </w:pPr>
            <w:r>
              <w:rPr>
                <w:rFonts w:ascii="Times New Roman" w:hAnsi="Times New Roman"/>
                <w:sz w:val="20"/>
              </w:rPr>
              <w:t>Facility Maintenance</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90,000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95,000</w:t>
            </w:r>
          </w:p>
        </w:tc>
        <w:tc>
          <w:tcPr>
            <w:tcW w:w="160" w:type="dxa"/>
            <w:tcBorders/>
            <w:vAlign w:val="bottom"/>
          </w:tcPr>
          <w:p>
            <w:pPr>
              <w:pStyle w:val="TableContents"/>
              <w:bidi w:val="0"/>
              <w:spacing w:before="0" w:after="283"/>
              <w:jc w:val="left"/>
              <w:rPr/>
            </w:pPr>
            <w:r>
              <w:rPr/>
              <w:t> </w:t>
            </w:r>
          </w:p>
        </w:tc>
      </w:tr>
      <w:tr>
        <w:trPr/>
        <w:tc>
          <w:tcPr>
            <w:tcW w:w="6893"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Expenditures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135,000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center"/>
              <w:rPr/>
            </w:pPr>
            <w:r>
              <w:rPr/>
              <w:t>to</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145,000</w:t>
            </w:r>
          </w:p>
        </w:tc>
        <w:tc>
          <w:tcPr>
            <w:tcW w:w="160" w:type="dxa"/>
            <w:tcBorders/>
            <w:shd w:fill="CCEEFF" w:val="clear"/>
            <w:vAlign w:val="bottom"/>
          </w:tcPr>
          <w:p>
            <w:pPr>
              <w:pStyle w:val="TableContents"/>
              <w:bidi w:val="0"/>
              <w:spacing w:before="0" w:after="283"/>
              <w:jc w:val="left"/>
              <w:rPr/>
            </w:pPr>
            <w:r>
              <w:rPr/>
              <w:t> </w:t>
            </w:r>
          </w:p>
        </w:tc>
      </w:tr>
      <w:tr>
        <w:trPr/>
        <w:tc>
          <w:tcPr>
            <w:tcW w:w="6893"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89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 Net</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4" w:type="dxa"/>
            <w:tcBorders/>
            <w:vAlign w:val="bottom"/>
          </w:tcPr>
          <w:p>
            <w:pPr>
              <w:pStyle w:val="TableContents"/>
              <w:bidi w:val="0"/>
              <w:spacing w:before="0" w:after="283"/>
              <w:jc w:val="right"/>
              <w:rPr>
                <w:b/>
              </w:rPr>
            </w:pPr>
            <w:r>
              <w:rPr>
                <w:b/>
              </w:rPr>
              <w:t>1,475,000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4" w:type="dxa"/>
            <w:tcBorders/>
            <w:vAlign w:val="bottom"/>
          </w:tcPr>
          <w:p>
            <w:pPr>
              <w:pStyle w:val="TableContents"/>
              <w:bidi w:val="0"/>
              <w:spacing w:before="0" w:after="283"/>
              <w:jc w:val="right"/>
              <w:rPr>
                <w:b/>
              </w:rPr>
            </w:pPr>
            <w:r>
              <w:rPr>
                <w:b/>
              </w:rPr>
              <w:t>1,425,000</w:t>
            </w:r>
          </w:p>
        </w:tc>
        <w:tc>
          <w:tcPr>
            <w:tcW w:w="160" w:type="dxa"/>
            <w:tcBorders/>
            <w:vAlign w:val="bottom"/>
          </w:tcPr>
          <w:p>
            <w:pPr>
              <w:pStyle w:val="TableContents"/>
              <w:bidi w:val="0"/>
              <w:spacing w:before="0" w:after="283"/>
              <w:jc w:val="left"/>
              <w:rPr/>
            </w:pPr>
            <w:r>
              <w:rPr/>
              <w:t> </w:t>
            </w:r>
          </w:p>
        </w:tc>
      </w:tr>
      <w:tr>
        <w:trPr/>
        <w:tc>
          <w:tcPr>
            <w:tcW w:w="68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Leverage, Net</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2.5</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Note: </w:t>
      </w:r>
      <w:r>
        <w:rPr>
          <w:rFonts w:ascii="Times New Roman" w:hAnsi="Times New Roman"/>
          <w:sz w:val="20"/>
        </w:rPr>
        <w:t xml:space="preserve">The above outlook does not include the impact of any potential impact related to one-time legal settlements </w:t>
      </w:r>
    </w:p>
    <w:p>
      <w:pPr>
        <w:pStyle w:val="TextBody"/>
        <w:bidi w:val="0"/>
        <w:spacing w:before="240" w:after="0"/>
        <w:jc w:val="center"/>
        <w:rPr>
          <w:rFonts w:ascii="Times New Roman" w:hAnsi="Times New Roman"/>
          <w:b/>
          <w:sz w:val="20"/>
        </w:rPr>
      </w:pPr>
      <w:r>
        <w:rPr>
          <w:rFonts w:ascii="Times New Roman" w:hAnsi="Times New Roman"/>
          <w:b/>
          <w:sz w:val="20"/>
        </w:rPr>
        <w:t xml:space="preserve">- End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109"/>
        <w:gridCol w:w="6108"/>
        <w:gridCol w:w="109"/>
        <w:gridCol w:w="3030"/>
      </w:tblGrid>
      <w:tr>
        <w:trPr/>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b/>
              </w:rPr>
            </w:pPr>
            <w:r>
              <w:rPr>
                <w:b/>
              </w:rPr>
              <w:t>Contact:</w:t>
            </w:r>
          </w:p>
        </w:tc>
        <w:tc>
          <w:tcPr>
            <w:tcW w:w="109" w:type="dxa"/>
            <w:tcBorders/>
            <w:vAlign w:val="bottom"/>
          </w:tcPr>
          <w:p>
            <w:pPr>
              <w:pStyle w:val="TableContents"/>
              <w:bidi w:val="0"/>
              <w:spacing w:before="0" w:after="283"/>
              <w:jc w:val="left"/>
              <w:rPr/>
            </w:pPr>
            <w:r>
              <w:rPr/>
              <w:t> </w:t>
            </w:r>
          </w:p>
        </w:tc>
        <w:tc>
          <w:tcPr>
            <w:tcW w:w="6108" w:type="dxa"/>
            <w:tcBorders/>
          </w:tcPr>
          <w:p>
            <w:pPr>
              <w:pStyle w:val="TableContents"/>
              <w:bidi w:val="0"/>
              <w:spacing w:before="0" w:after="0"/>
              <w:jc w:val="left"/>
              <w:rPr>
                <w:rFonts w:ascii="Times New Roman" w:hAnsi="Times New Roman"/>
                <w:sz w:val="20"/>
              </w:rPr>
            </w:pPr>
            <w:r>
              <w:rPr>
                <w:rFonts w:ascii="Times New Roman" w:hAnsi="Times New Roman"/>
                <w:sz w:val="20"/>
              </w:rPr>
              <w:t>Pablo E. Paez</w:t>
            </w:r>
          </w:p>
          <w:p>
            <w:pPr>
              <w:pStyle w:val="TableContents"/>
              <w:bidi w:val="0"/>
              <w:spacing w:before="0" w:after="20"/>
              <w:jc w:val="left"/>
              <w:rPr>
                <w:rFonts w:ascii="Times New Roman" w:hAnsi="Times New Roman"/>
                <w:sz w:val="20"/>
              </w:rPr>
            </w:pPr>
            <w:r>
              <w:rPr>
                <w:rFonts w:ascii="Times New Roman" w:hAnsi="Times New Roman"/>
                <w:sz w:val="20"/>
              </w:rPr>
              <w:t>Executive Vice President, Corporate Relations</w:t>
            </w:r>
          </w:p>
        </w:tc>
        <w:tc>
          <w:tcPr>
            <w:tcW w:w="109" w:type="dxa"/>
            <w:tcBorders/>
            <w:vAlign w:val="bottom"/>
          </w:tcPr>
          <w:p>
            <w:pPr>
              <w:pStyle w:val="TableContents"/>
              <w:bidi w:val="0"/>
              <w:spacing w:before="0" w:after="283"/>
              <w:jc w:val="left"/>
              <w:rPr/>
            </w:pPr>
            <w:r>
              <w:rPr/>
              <w:t> </w:t>
            </w:r>
          </w:p>
        </w:tc>
        <w:tc>
          <w:tcPr>
            <w:tcW w:w="3030" w:type="dxa"/>
            <w:tcBorders/>
          </w:tcPr>
          <w:p>
            <w:pPr>
              <w:pStyle w:val="TableContents"/>
              <w:bidi w:val="0"/>
              <w:spacing w:before="0" w:after="283"/>
              <w:jc w:val="left"/>
              <w:rPr/>
            </w:pPr>
            <w:r>
              <w:rPr/>
              <w:t>(866) 301 4436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4816</Words>
  <Characters>27347</Characters>
  <CharactersWithSpaces>33143</CharactersWithSpaces>
  <Paragraphs>1989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