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04487d8k.htm"/>
      <w:bookmarkStart w:id="1" w:name="ksd104487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April 28,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THE GEO GROUP,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2060"/>
        <w:gridCol w:w="60"/>
        <w:gridCol w:w="980"/>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Florida</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1-14260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65-0043078</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695" w:type="dxa"/>
        <w:jc w:val="left"/>
        <w:tblInd w:w="0" w:type="dxa"/>
        <w:tblLayout w:type="fixed"/>
        <w:tblCellMar>
          <w:top w:w="0" w:type="dxa"/>
          <w:left w:w="0" w:type="dxa"/>
          <w:bottom w:w="0" w:type="dxa"/>
          <w:right w:w="0" w:type="dxa"/>
        </w:tblCellMar>
      </w:tblPr>
      <w:tblGrid>
        <w:gridCol w:w="4490"/>
        <w:gridCol w:w="60"/>
        <w:gridCol w:w="1145"/>
      </w:tblGrid>
      <w:tr>
        <w:trPr/>
        <w:tc>
          <w:tcPr>
            <w:tcW w:w="4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490" w:type="dxa"/>
            <w:tcBorders/>
            <w:vAlign w:val="center"/>
          </w:tcPr>
          <w:p>
            <w:pPr>
              <w:pStyle w:val="TableContents"/>
              <w:bidi w:val="0"/>
              <w:spacing w:before="0" w:after="283"/>
              <w:jc w:val="center"/>
              <w:rPr>
                <w:b/>
              </w:rPr>
            </w:pPr>
            <w:r>
              <w:rPr>
                <w:b/>
              </w:rPr>
              <w:t>4955 Technology Way, Boca Raton, Florida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33431</w:t>
            </w:r>
          </w:p>
        </w:tc>
      </w:tr>
      <w:tr>
        <w:trPr/>
        <w:tc>
          <w:tcPr>
            <w:tcW w:w="449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(561) 893-0101</w:t>
      </w:r>
    </w:p>
    <w:p>
      <w:pPr>
        <w:pStyle w:val="TextBody"/>
        <w:bidi w:val="0"/>
        <w:spacing w:before="20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w:t>
      </w:r>
      <w:r>
        <w:rPr>
          <w:rFonts w:ascii="Times New Roman" w:hAnsi="Times New Roman"/>
          <w:sz w:val="20"/>
          <w:u w:val="single"/>
        </w:rPr>
        <w:t>see</w:t>
      </w:r>
      <w:r>
        <w:rPr>
          <w:rFonts w:ascii="Times New Roman" w:hAnsi="Times New Roman"/>
          <w:sz w:val="20"/>
        </w:rPr>
        <w:t xml:space="preserv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570" w:type="dxa"/>
        <w:jc w:val="left"/>
        <w:tblInd w:w="0" w:type="dxa"/>
        <w:tblLayout w:type="fixed"/>
        <w:tblCellMar>
          <w:top w:w="0" w:type="dxa"/>
          <w:left w:w="0" w:type="dxa"/>
          <w:bottom w:w="0" w:type="dxa"/>
          <w:right w:w="0" w:type="dxa"/>
        </w:tblCellMar>
      </w:tblPr>
      <w:tblGrid>
        <w:gridCol w:w="3185"/>
        <w:gridCol w:w="60"/>
        <w:gridCol w:w="605"/>
        <w:gridCol w:w="60"/>
        <w:gridCol w:w="2660"/>
      </w:tblGrid>
      <w:tr>
        <w:trPr/>
        <w:tc>
          <w:tcPr>
            <w:tcW w:w="3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318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60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185" w:type="dxa"/>
            <w:tcBorders/>
            <w:vAlign w:val="center"/>
          </w:tcPr>
          <w:p>
            <w:pPr>
              <w:pStyle w:val="TableContents"/>
              <w:bidi w:val="0"/>
              <w:spacing w:before="0" w:after="283"/>
              <w:jc w:val="center"/>
              <w:rPr/>
            </w:pPr>
            <w:r>
              <w:rPr/>
              <w:t>Common Stock, $0.01 Par Value</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GEO</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righ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495" w:type="dxa"/>
        <w:jc w:val="left"/>
        <w:tblInd w:w="0" w:type="dxa"/>
        <w:tblLayout w:type="fixed"/>
        <w:tblCellMar>
          <w:top w:w="0" w:type="dxa"/>
          <w:left w:w="0" w:type="dxa"/>
          <w:bottom w:w="0" w:type="dxa"/>
          <w:right w:w="0" w:type="dxa"/>
        </w:tblCellMar>
      </w:tblPr>
      <w:tblGrid>
        <w:gridCol w:w="935"/>
        <w:gridCol w:w="3560"/>
      </w:tblGrid>
      <w:tr>
        <w:trPr/>
        <w:tc>
          <w:tcPr>
            <w:tcW w:w="935" w:type="dxa"/>
            <w:tcBorders/>
            <w:vAlign w:val="center"/>
          </w:tcPr>
          <w:p>
            <w:pPr>
              <w:pStyle w:val="TableContents"/>
              <w:bidi w:val="0"/>
              <w:spacing w:before="0" w:after="283"/>
              <w:jc w:val="left"/>
              <w:rPr>
                <w:b/>
              </w:rPr>
            </w:pPr>
            <w:r>
              <w:rPr>
                <w:b/>
              </w:rPr>
              <w:t>Section 5</w:t>
            </w:r>
          </w:p>
        </w:tc>
        <w:tc>
          <w:tcPr>
            <w:tcW w:w="35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Corporate Governance and Management </w:t>
            </w:r>
          </w:p>
        </w:tc>
      </w:tr>
    </w:tbl>
    <w:p>
      <w:pPr>
        <w:pStyle w:val="TextBody"/>
        <w:bidi w:val="0"/>
        <w:spacing w:before="0" w:after="0"/>
        <w:jc w:val="left"/>
        <w:rPr/>
      </w:pPr>
      <w:r>
        <w:rPr/>
        <w:t> </w:t>
      </w:r>
    </w:p>
    <w:tbl>
      <w:tblPr>
        <w:tblW w:w="5440" w:type="dxa"/>
        <w:jc w:val="left"/>
        <w:tblInd w:w="0" w:type="dxa"/>
        <w:tblLayout w:type="fixed"/>
        <w:tblCellMar>
          <w:top w:w="0" w:type="dxa"/>
          <w:left w:w="0" w:type="dxa"/>
          <w:bottom w:w="0" w:type="dxa"/>
          <w:right w:w="0" w:type="dxa"/>
        </w:tblCellMar>
      </w:tblPr>
      <w:tblGrid>
        <w:gridCol w:w="965"/>
        <w:gridCol w:w="4475"/>
      </w:tblGrid>
      <w:tr>
        <w:trPr/>
        <w:tc>
          <w:tcPr>
            <w:tcW w:w="965" w:type="dxa"/>
            <w:tcBorders/>
            <w:vAlign w:val="center"/>
          </w:tcPr>
          <w:p>
            <w:pPr>
              <w:pStyle w:val="TableContents"/>
              <w:bidi w:val="0"/>
              <w:spacing w:before="0" w:after="283"/>
              <w:jc w:val="left"/>
              <w:rPr>
                <w:b/>
              </w:rPr>
            </w:pPr>
            <w:r>
              <w:rPr>
                <w:b/>
              </w:rPr>
              <w:t>Item 5.07</w:t>
            </w:r>
          </w:p>
        </w:tc>
        <w:tc>
          <w:tcPr>
            <w:tcW w:w="44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Submission of Matters to a Vote of Security Holders.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GEO Group, Inc. (“GEO” or the “Company”) 2026 Annual Meeting of Shareholders was held on April 28, 2026. The following matters were voted on at the Annual Meeting: (1) the election of seven directors for a term of one year and until their successors are duly elected and qualified, (2) the ratification of the appointment of Grant Thornton LLP to serve as GEO’s independent registered public accountants for the 2026 fiscal year and (3) the approval, in a non-binding advisory vote, of the compensation paid to GEO’s named executive officers, as disclosed in GEO’s Proxy Statement for the 2026 Annual Meeting of Shareholders, pursuant to Item 402 of Regulation S-K, including the Compensation Discussion and Analysis, compensation tables and narrative discussion. The final voting results for each matter submitted to a vote of shareholders at the meeting are set forth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283"/>
              <w:jc w:val="left"/>
              <w:rPr/>
            </w:pPr>
            <w:r>
              <w:rPr/>
              <w:t>1.</w:t>
            </w:r>
          </w:p>
        </w:tc>
        <w:tc>
          <w:tcPr>
            <w:tcW w:w="1000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of the Board’s director nominees were elected for a term of one year and until their successors are duly elected and qualified, by the votes set forth in the table below: </w:t>
            </w:r>
          </w:p>
        </w:tc>
      </w:tr>
    </w:tbl>
    <w:p>
      <w:pPr>
        <w:pStyle w:val="TextBody"/>
        <w:bidi w:val="0"/>
        <w:spacing w:before="0" w:after="0"/>
        <w:jc w:val="left"/>
        <w:rPr/>
      </w:pPr>
      <w:r>
        <w:rPr/>
        <w:t> </w:t>
      </w:r>
    </w:p>
    <w:tbl>
      <w:tblPr>
        <w:tblW w:w="7450" w:type="dxa"/>
        <w:jc w:val="left"/>
        <w:tblInd w:w="0" w:type="dxa"/>
        <w:tblLayout w:type="fixed"/>
        <w:tblCellMar>
          <w:top w:w="0" w:type="dxa"/>
          <w:left w:w="0" w:type="dxa"/>
          <w:bottom w:w="0" w:type="dxa"/>
          <w:right w:w="0" w:type="dxa"/>
        </w:tblCellMar>
      </w:tblPr>
      <w:tblGrid>
        <w:gridCol w:w="2015"/>
        <w:gridCol w:w="120"/>
        <w:gridCol w:w="60"/>
        <w:gridCol w:w="1100"/>
        <w:gridCol w:w="60"/>
        <w:gridCol w:w="120"/>
        <w:gridCol w:w="60"/>
        <w:gridCol w:w="1100"/>
        <w:gridCol w:w="60"/>
        <w:gridCol w:w="120"/>
        <w:gridCol w:w="98"/>
        <w:gridCol w:w="1122"/>
        <w:gridCol w:w="60"/>
        <w:gridCol w:w="120"/>
        <w:gridCol w:w="60"/>
        <w:gridCol w:w="1100"/>
        <w:gridCol w:w="75"/>
      </w:tblGrid>
      <w:tr>
        <w:trPr/>
        <w:tc>
          <w:tcPr>
            <w:tcW w:w="20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Votes For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Votes</w:t>
              <w:br/>
              <w:t>Against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Abstentions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Broker</w:t>
              <w:br/>
              <w:t>Non-Votes</w:t>
            </w:r>
          </w:p>
        </w:tc>
        <w:tc>
          <w:tcPr>
            <w:tcW w:w="75" w:type="dxa"/>
            <w:tcBorders/>
            <w:vAlign w:val="center"/>
          </w:tcPr>
          <w:p>
            <w:pPr>
              <w:pStyle w:val="TableContents"/>
              <w:bidi w:val="0"/>
              <w:spacing w:before="0" w:after="283"/>
              <w:jc w:val="left"/>
              <w:rPr/>
            </w:pPr>
            <w:r>
              <w:rPr/>
              <w:t> </w:t>
            </w:r>
          </w:p>
        </w:tc>
      </w:tr>
      <w:tr>
        <w:trPr/>
        <w:tc>
          <w:tcPr>
            <w:tcW w:w="20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Thomas C. Bartzokis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93,380,529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629,438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57,143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12,704,454</w:t>
            </w:r>
          </w:p>
        </w:tc>
        <w:tc>
          <w:tcPr>
            <w:tcW w:w="75" w:type="dxa"/>
            <w:tcBorders/>
            <w:shd w:fill="CCEEFF" w:val="clear"/>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Jack Brewer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73,801,028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20,200,389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65,693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12,704,454</w:t>
            </w:r>
          </w:p>
        </w:tc>
        <w:tc>
          <w:tcPr>
            <w:tcW w:w="75" w:type="dxa"/>
            <w:tcBorders/>
            <w:vAlign w:val="center"/>
          </w:tcPr>
          <w:p>
            <w:pPr>
              <w:pStyle w:val="TableContents"/>
              <w:bidi w:val="0"/>
              <w:spacing w:before="0" w:after="283"/>
              <w:jc w:val="left"/>
              <w:rPr/>
            </w:pPr>
            <w:r>
              <w:rPr/>
              <w:t> </w:t>
            </w:r>
          </w:p>
        </w:tc>
      </w:tr>
      <w:tr>
        <w:trPr/>
        <w:tc>
          <w:tcPr>
            <w:tcW w:w="20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Donna Arduin Kauranen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93,401,803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578,669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86,638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12,704,454</w:t>
            </w:r>
          </w:p>
        </w:tc>
        <w:tc>
          <w:tcPr>
            <w:tcW w:w="75" w:type="dxa"/>
            <w:tcBorders/>
            <w:shd w:fill="CCEEFF" w:val="clear"/>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Scott M. Kernan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93,291,384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717,695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58,031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12,704,454</w:t>
            </w:r>
          </w:p>
        </w:tc>
        <w:tc>
          <w:tcPr>
            <w:tcW w:w="75" w:type="dxa"/>
            <w:tcBorders/>
            <w:vAlign w:val="center"/>
          </w:tcPr>
          <w:p>
            <w:pPr>
              <w:pStyle w:val="TableContents"/>
              <w:bidi w:val="0"/>
              <w:spacing w:before="0" w:after="283"/>
              <w:jc w:val="left"/>
              <w:rPr/>
            </w:pPr>
            <w:r>
              <w:rPr/>
              <w:t> </w:t>
            </w:r>
          </w:p>
        </w:tc>
      </w:tr>
      <w:tr>
        <w:trPr/>
        <w:tc>
          <w:tcPr>
            <w:tcW w:w="20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Lindsay L. Koren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93,199,735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788,652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78,723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12,704,454</w:t>
            </w:r>
          </w:p>
        </w:tc>
        <w:tc>
          <w:tcPr>
            <w:tcW w:w="75" w:type="dxa"/>
            <w:tcBorders/>
            <w:shd w:fill="CCEEFF" w:val="clear"/>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Julie Myers Wood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89,794,018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4,212,934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60,158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12,704,454</w:t>
            </w:r>
          </w:p>
        </w:tc>
        <w:tc>
          <w:tcPr>
            <w:tcW w:w="75" w:type="dxa"/>
            <w:tcBorders/>
            <w:vAlign w:val="center"/>
          </w:tcPr>
          <w:p>
            <w:pPr>
              <w:pStyle w:val="TableContents"/>
              <w:bidi w:val="0"/>
              <w:spacing w:before="0" w:after="283"/>
              <w:jc w:val="left"/>
              <w:rPr/>
            </w:pPr>
            <w:r>
              <w:rPr/>
              <w:t> </w:t>
            </w:r>
          </w:p>
        </w:tc>
      </w:tr>
      <w:tr>
        <w:trPr/>
        <w:tc>
          <w:tcPr>
            <w:tcW w:w="20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George C. Zoley</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92,434,807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1,538,534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93,769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12,704,454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283"/>
              <w:jc w:val="left"/>
              <w:rPr/>
            </w:pPr>
            <w:r>
              <w:rPr/>
              <w:t>2.</w:t>
            </w:r>
          </w:p>
        </w:tc>
        <w:tc>
          <w:tcPr>
            <w:tcW w:w="100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appointment of Grant Thornton LLP as GEO’s independent registered public accountants for the 2026 fiscal year was ratified by the shareholders, by the votes set forth in the table below: </w:t>
            </w:r>
          </w:p>
        </w:tc>
      </w:tr>
    </w:tbl>
    <w:p>
      <w:pPr>
        <w:pStyle w:val="TextBody"/>
        <w:bidi w:val="0"/>
        <w:spacing w:before="0" w:after="0"/>
        <w:jc w:val="left"/>
        <w:rPr/>
      </w:pPr>
      <w:r>
        <w:rPr/>
        <w:t> </w:t>
      </w:r>
    </w:p>
    <w:tbl>
      <w:tblPr>
        <w:tblW w:w="3040" w:type="dxa"/>
        <w:jc w:val="left"/>
        <w:tblInd w:w="0" w:type="dxa"/>
        <w:tblLayout w:type="fixed"/>
        <w:tblCellMar>
          <w:top w:w="0" w:type="dxa"/>
          <w:left w:w="0" w:type="dxa"/>
          <w:bottom w:w="0" w:type="dxa"/>
          <w:right w:w="0" w:type="dxa"/>
        </w:tblCellMar>
      </w:tblPr>
      <w:tblGrid>
        <w:gridCol w:w="1565"/>
        <w:gridCol w:w="120"/>
        <w:gridCol w:w="60"/>
        <w:gridCol w:w="1220"/>
        <w:gridCol w:w="75"/>
      </w:tblGrid>
      <w:tr>
        <w:trPr/>
        <w:tc>
          <w:tcPr>
            <w:tcW w:w="1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105,876,959</w:t>
            </w:r>
          </w:p>
        </w:tc>
        <w:tc>
          <w:tcPr>
            <w:tcW w:w="75" w:type="dxa"/>
            <w:tcBorders/>
            <w:shd w:fill="CCEEFF" w:val="clear"/>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Against: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783,626</w:t>
            </w:r>
          </w:p>
        </w:tc>
        <w:tc>
          <w:tcPr>
            <w:tcW w:w="75" w:type="dxa"/>
            <w:tcBorders/>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Abstain: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110,979</w:t>
            </w:r>
          </w:p>
        </w:tc>
        <w:tc>
          <w:tcPr>
            <w:tcW w:w="75" w:type="dxa"/>
            <w:tcBorders/>
            <w:shd w:fill="CCEEFF" w:val="clear"/>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Broker Non-Votes: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0</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283"/>
              <w:jc w:val="left"/>
              <w:rPr/>
            </w:pPr>
            <w:r>
              <w:rPr/>
              <w:t>3.</w:t>
            </w:r>
          </w:p>
        </w:tc>
        <w:tc>
          <w:tcPr>
            <w:tcW w:w="100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shareholders approved, in a non-binding advisory vote, the compensation of GEO’s named executive officers, by the votes set forth in the table below: </w:t>
            </w:r>
          </w:p>
        </w:tc>
      </w:tr>
    </w:tbl>
    <w:p>
      <w:pPr>
        <w:pStyle w:val="TextBody"/>
        <w:bidi w:val="0"/>
        <w:spacing w:before="0" w:after="0"/>
        <w:jc w:val="left"/>
        <w:rPr/>
      </w:pPr>
      <w:r>
        <w:rPr/>
        <w:t> </w:t>
      </w:r>
    </w:p>
    <w:tbl>
      <w:tblPr>
        <w:tblW w:w="2920" w:type="dxa"/>
        <w:jc w:val="left"/>
        <w:tblInd w:w="0" w:type="dxa"/>
        <w:tblLayout w:type="fixed"/>
        <w:tblCellMar>
          <w:top w:w="0" w:type="dxa"/>
          <w:left w:w="0" w:type="dxa"/>
          <w:bottom w:w="0" w:type="dxa"/>
          <w:right w:w="0" w:type="dxa"/>
        </w:tblCellMar>
      </w:tblPr>
      <w:tblGrid>
        <w:gridCol w:w="1565"/>
        <w:gridCol w:w="120"/>
        <w:gridCol w:w="60"/>
        <w:gridCol w:w="1100"/>
        <w:gridCol w:w="75"/>
      </w:tblGrid>
      <w:tr>
        <w:trPr/>
        <w:tc>
          <w:tcPr>
            <w:tcW w:w="1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67,226,927</w:t>
            </w:r>
          </w:p>
        </w:tc>
        <w:tc>
          <w:tcPr>
            <w:tcW w:w="75" w:type="dxa"/>
            <w:tcBorders/>
            <w:shd w:fill="CCEEFF" w:val="clear"/>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Against: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26,715,413</w:t>
            </w:r>
          </w:p>
        </w:tc>
        <w:tc>
          <w:tcPr>
            <w:tcW w:w="75" w:type="dxa"/>
            <w:tcBorders/>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Abstain: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124,770</w:t>
            </w:r>
          </w:p>
        </w:tc>
        <w:tc>
          <w:tcPr>
            <w:tcW w:w="75" w:type="dxa"/>
            <w:tcBorders/>
            <w:shd w:fill="CCEEFF" w:val="clear"/>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Broker Non-Votes: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12,704,454</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7973" w:type="dxa"/>
        <w:jc w:val="left"/>
        <w:tblInd w:w="0" w:type="dxa"/>
        <w:tblLayout w:type="fixed"/>
        <w:tblCellMar>
          <w:top w:w="0" w:type="dxa"/>
          <w:left w:w="0" w:type="dxa"/>
          <w:bottom w:w="0" w:type="dxa"/>
          <w:right w:w="0" w:type="dxa"/>
        </w:tblCellMar>
      </w:tblPr>
      <w:tblGrid>
        <w:gridCol w:w="1250"/>
        <w:gridCol w:w="60"/>
        <w:gridCol w:w="23"/>
        <w:gridCol w:w="60"/>
        <w:gridCol w:w="365"/>
        <w:gridCol w:w="60"/>
        <w:gridCol w:w="6155"/>
      </w:tblGrid>
      <w:tr>
        <w:trPr/>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55"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80" w:type="dxa"/>
            <w:gridSpan w:val="3"/>
            <w:tcBorders/>
            <w:vAlign w:val="center"/>
          </w:tcPr>
          <w:p>
            <w:pPr>
              <w:pStyle w:val="TableContents"/>
              <w:bidi w:val="0"/>
              <w:spacing w:before="0" w:after="283"/>
              <w:jc w:val="left"/>
              <w:rPr>
                <w:b/>
              </w:rPr>
            </w:pPr>
            <w:r>
              <w:rPr>
                <w:b/>
              </w:rPr>
              <w:t>THE GEO GROUP, INC.</w:t>
            </w:r>
          </w:p>
        </w:tc>
      </w:tr>
      <w:tr>
        <w:trPr/>
        <w:tc>
          <w:tcPr>
            <w:tcW w:w="125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6215" w:type="dxa"/>
            <w:gridSpan w:val="2"/>
            <w:tcBorders/>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283"/>
              <w:jc w:val="left"/>
              <w:rPr>
                <w:u w:val="single"/>
              </w:rPr>
            </w:pPr>
            <w:r>
              <w:rPr>
                <w:u w:val="single"/>
              </w:rPr>
              <w:t>May 4,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Scott A. Schipma</w:t>
            </w:r>
          </w:p>
        </w:tc>
      </w:tr>
      <w:tr>
        <w:trPr/>
        <w:tc>
          <w:tcPr>
            <w:tcW w:w="1250" w:type="dxa"/>
            <w:tcBorders/>
            <w:vAlign w:val="center"/>
          </w:tcPr>
          <w:p>
            <w:pPr>
              <w:pStyle w:val="TableContents"/>
              <w:bidi w:val="0"/>
              <w:spacing w:before="0" w:after="283"/>
              <w:jc w:val="left"/>
              <w:rPr/>
            </w:pPr>
            <w:r>
              <w:rPr/>
              <w:t>Date</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pPr>
            <w:r>
              <w:rPr/>
              <w:t>Scott A. Schipma</w:t>
            </w:r>
          </w:p>
        </w:tc>
      </w:tr>
      <w:tr>
        <w:trPr/>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left"/>
              <w:rPr/>
            </w:pPr>
            <w:r>
              <w:rPr/>
              <w:t>Senior Vice President, General Counsel and Corporate Secretary</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682</Words>
  <Characters>3746</Characters>
  <CharactersWithSpaces>4524</CharactersWithSpaces>
  <Paragraphs>289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